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default" w:ascii="Times New Roman" w:hAnsi="Times New Roman" w:eastAsia="方正仿宋简体" w:cs="Times New Roman"/>
        </w:rPr>
      </w:pPr>
      <w:r>
        <w:rPr>
          <w:rFonts w:ascii="宋体" w:hAnsi="宋体" w:eastAsia="宋体" w:cs="宋体"/>
          <w:kern w:val="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-76200</wp:posOffset>
            </wp:positionH>
            <wp:positionV relativeFrom="paragraph">
              <wp:posOffset>68580</wp:posOffset>
            </wp:positionV>
            <wp:extent cx="5733415" cy="783590"/>
            <wp:effectExtent l="0" t="0" r="635" b="16510"/>
            <wp:wrapSquare wrapText="bothSides"/>
            <wp:docPr id="3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IMG_256"/>
                    <pic:cNvPicPr>
                      <a:picLocks noChangeAspect="1"/>
                    </pic:cNvPicPr>
                  </pic:nvPicPr>
                  <pic:blipFill>
                    <a:blip r:embed="rId6"/>
                    <a:srcRect r="12202"/>
                    <a:stretch>
                      <a:fillRect/>
                    </a:stretch>
                  </pic:blipFill>
                  <pic:spPr>
                    <a:xfrm>
                      <a:off x="0" y="0"/>
                      <a:ext cx="5733415" cy="7835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line="320" w:lineRule="exact"/>
        <w:jc w:val="center"/>
        <w:rPr>
          <w:rFonts w:hint="default" w:ascii="Times New Roman" w:hAnsi="Times New Roman" w:eastAsia="方正仿宋简体" w:cs="Times New Roman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成会行党〔20</w:t>
      </w:r>
      <w:r>
        <w:rPr>
          <w:rFonts w:hint="eastAsia" w:eastAsia="仿宋" w:cs="Times New Roman"/>
          <w:sz w:val="32"/>
          <w:szCs w:val="32"/>
          <w:lang w:val="en-US" w:eastAsia="zh-CN"/>
        </w:rPr>
        <w:t>23</w:t>
      </w:r>
      <w:r>
        <w:rPr>
          <w:rFonts w:hint="default" w:ascii="Times New Roman" w:hAnsi="Times New Roman" w:eastAsia="仿宋" w:cs="Times New Roman"/>
          <w:sz w:val="32"/>
          <w:szCs w:val="32"/>
        </w:rPr>
        <w:t>〕</w:t>
      </w:r>
      <w:r>
        <w:rPr>
          <w:rFonts w:hint="eastAsia" w:eastAsia="仿宋" w:cs="Times New Roman"/>
          <w:sz w:val="32"/>
          <w:szCs w:val="32"/>
          <w:lang w:val="en-US" w:eastAsia="zh-CN"/>
        </w:rPr>
        <w:t>116</w:t>
      </w:r>
      <w:r>
        <w:rPr>
          <w:rFonts w:hint="default" w:ascii="Times New Roman" w:hAnsi="Times New Roman" w:eastAsia="仿宋" w:cs="Times New Roman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sz w:val="44"/>
          <w:szCs w:val="44"/>
          <w:lang w:eastAsia="zh-CN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-60960</wp:posOffset>
                </wp:positionH>
                <wp:positionV relativeFrom="paragraph">
                  <wp:posOffset>133985</wp:posOffset>
                </wp:positionV>
                <wp:extent cx="5760085" cy="635"/>
                <wp:effectExtent l="0" t="0" r="0" b="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765810" y="2915920"/>
                          <a:ext cx="5760085" cy="635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4.8pt;margin-top:10.55pt;height:0.05pt;width:453.55pt;z-index:251660288;mso-width-relative:page;mso-height-relative:page;" filled="f" stroked="t" coordsize="21600,21600" o:gfxdata="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Brm4iA2AAAAAgBAAAPAAAAAAAAAAEAIAAAACIAAABkcnMvZG93bnJldi54bWxQSwECFAAU&#10;AAAACACHTuJAL4bXPPEBAACyAwAADgAAAAAAAAABACAAAAAnAQAAZHJzL2Uyb0RvYy54bWxQSwUG&#10;AAAAAAYABgBZAQAAigUAAAAA&#10;">
                <v:fill on="f" focussize="0,0"/>
                <v:stroke weight="3pt" color="#FF0000 [3204]" joinstyle="round"/>
                <v:imagedata o:title=""/>
                <o:lock v:ext="edit" aspectratio="f"/>
              </v:line>
            </w:pict>
          </mc:Fallback>
        </mc:AlternateConten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  <w:t>中共成都市注册会计师行业委员会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pacing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color w:val="auto"/>
          <w:spacing w:val="0"/>
          <w:sz w:val="44"/>
          <w:szCs w:val="44"/>
          <w:lang w:val="en-US" w:eastAsia="zh-CN"/>
        </w:rPr>
        <w:t>关于拟命名“蓉城先锋·诚信注会”</w:t>
      </w:r>
      <w:r>
        <w:rPr>
          <w:rFonts w:hint="default" w:ascii="Times New Roman" w:hAnsi="Times New Roman" w:eastAsia="方正小标宋_GBK" w:cs="Times New Roman"/>
          <w:color w:val="auto"/>
          <w:spacing w:val="0"/>
          <w:sz w:val="44"/>
          <w:szCs w:val="44"/>
          <w:lang w:eastAsia="zh-CN"/>
        </w:rPr>
        <w:t>诚信建设</w:t>
      </w:r>
      <w:r>
        <w:rPr>
          <w:rFonts w:hint="default" w:ascii="Times New Roman" w:hAnsi="Times New Roman" w:eastAsia="方正小标宋_GBK" w:cs="Times New Roman"/>
          <w:color w:val="auto"/>
          <w:spacing w:val="0"/>
          <w:sz w:val="44"/>
          <w:szCs w:val="44"/>
          <w:lang w:val="en-US" w:eastAsia="zh-CN"/>
        </w:rPr>
        <w:t>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lang w:eastAsia="zh-CN"/>
        </w:rPr>
        <w:t>和诚信建设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  <w:t>标兵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lang w:eastAsia="zh-CN"/>
        </w:rPr>
        <w:t>名单的</w:t>
      </w: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  <w:t>公示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各在蓉会计师事务所：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根据《中共成都市注册会计师行业委员会关于开展“党性在我心 诚信伴我行”诚信建设点和诚信建设标兵评选活动的通知》（成会行党〔2023〕58号），经会计师事务所申报、网络投票、专家评审等程序，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拟命名</w:t>
      </w:r>
      <w:r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lang w:val="en-US" w:eastAsia="zh-CN" w:bidi="ar-SA"/>
        </w:rPr>
        <w:t>信永中和会计师事务所（特殊普通合伙）成都分所等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19家会计师事务所为“蓉城先锋·诚信注会”诚信建设点，李勇等31人为“蓉城先锋·诚信注会”诚信建设标兵。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现予以公示，公示期为2023年12月5日至12月11日。如有异议，请书面向市行业党办反映，并提供必要的证明材料及有效联系方式。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联系人：黄洋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联系电话：028-86045471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left="1933" w:leftChars="304" w:hanging="960" w:hangingChars="30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附件：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1.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拟命名“蓉城先锋·诚信注会”诚信建设点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名单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1920" w:firstLineChars="600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2.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拟命名“蓉城先锋·诚信注会”诚信建设标兵名单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Times New Roman" w:hAnsi="Times New Roman" w:cs="Times New Roman"/>
          <w:lang w:val="en-US" w:eastAsia="zh-CN"/>
        </w:rPr>
      </w:pPr>
    </w:p>
    <w:p>
      <w:pPr>
        <w:pStyle w:val="2"/>
        <w:rPr>
          <w:rFonts w:hint="default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0" w:firstLineChars="1000"/>
        <w:textAlignment w:val="auto"/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lang w:val="en-US" w:eastAsia="zh-CN" w:bidi="ar-SA"/>
        </w:rPr>
        <w:t>中共成都市注册会计师行业委员会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lang w:val="en-US"/>
        </w:rPr>
        <w:sectPr>
          <w:footerReference r:id="rId3" w:type="default"/>
          <w:pgSz w:w="11906" w:h="16838"/>
          <w:pgMar w:top="2098" w:right="1474" w:bottom="1984" w:left="1587" w:header="851" w:footer="1587" w:gutter="0"/>
          <w:pgNumType w:fmt="decimal"/>
          <w:cols w:space="720" w:num="1"/>
          <w:docGrid w:type="lines" w:linePitch="312" w:charSpace="0"/>
        </w:sect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2023年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12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</w:rPr>
        <w:t>月</w:t>
      </w: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5日</w:t>
      </w:r>
    </w:p>
    <w:p>
      <w:pPr>
        <w:pStyle w:val="11"/>
        <w:widowControl/>
        <w:spacing w:before="0" w:beforeAutospacing="0" w:after="0" w:afterAutospacing="0"/>
        <w:outlineLvl w:val="9"/>
        <w:rPr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  <w:t>1</w:t>
      </w:r>
    </w:p>
    <w:p>
      <w:pPr>
        <w:pStyle w:val="11"/>
        <w:widowControl/>
        <w:spacing w:before="0" w:beforeAutospacing="0" w:after="0" w:afterAutospacing="0"/>
        <w:outlineLvl w:val="9"/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cs="Times New Roman"/>
          <w:lang w:val="en-US" w:eastAsia="zh-CN"/>
        </w:rPr>
      </w:pPr>
      <w:r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  <w:t>拟命名“蓉城先锋·诚信注会”诚信建设点名单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（共19家，排名不分先后）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lang w:val="en-US" w:eastAsia="zh-CN" w:bidi="ar-SA"/>
        </w:rPr>
        <w:t>信永中和会计师事务所（特殊普通合伙）成都分所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lang w:val="en-US" w:eastAsia="zh-CN" w:bidi="ar-SA"/>
        </w:rPr>
        <w:t>天健会计师事务所（特殊普通合伙）四川分所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lang w:val="en-US" w:eastAsia="zh-CN" w:bidi="ar-SA"/>
        </w:rPr>
        <w:t>大信会计师事务所（特殊普通合伙）四川分所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lang w:val="en-US" w:eastAsia="zh-CN" w:bidi="ar-SA"/>
        </w:rPr>
        <w:t>四川中衡安信会计师事务所有限公司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lang w:val="en-US" w:eastAsia="zh-CN" w:bidi="ar-SA"/>
        </w:rPr>
        <w:t>四川维诚会计师事务所有限公司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lang w:val="en-US" w:eastAsia="zh-CN" w:bidi="ar-SA"/>
        </w:rPr>
        <w:t>中天浩会计师事务所有限公司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lang w:val="en-US" w:eastAsia="zh-CN" w:bidi="ar-SA"/>
        </w:rPr>
        <w:t>四川名扬正信会计师事务所有限公司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lang w:val="en-US" w:eastAsia="zh-CN" w:bidi="ar-SA"/>
        </w:rPr>
        <w:t>四川德文会计师事务所（特殊普通合伙）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lang w:val="en-US" w:eastAsia="zh-CN" w:bidi="ar-SA"/>
        </w:rPr>
        <w:t>四川华文会计师事务所有限公司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lang w:val="en-US" w:eastAsia="zh-CN" w:bidi="ar-SA"/>
        </w:rPr>
        <w:t>中天运会计师事务所（特殊普通合伙）四川分所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lang w:val="en-US" w:eastAsia="zh-CN" w:bidi="ar-SA"/>
        </w:rPr>
        <w:t>四川嘉汇会计师事务所有限责任公司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lang w:val="en-US" w:eastAsia="zh-CN" w:bidi="ar-SA"/>
        </w:rPr>
        <w:t>四川鼎恒永宏会计师事务所（普通合伙）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lang w:val="en-US" w:eastAsia="zh-CN" w:bidi="ar-SA"/>
        </w:rPr>
        <w:t>四川中砝会计师事务所有限责任公司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lang w:val="en-US" w:eastAsia="zh-CN" w:bidi="ar-SA"/>
        </w:rPr>
        <w:t>中审众环会计师事务所（特殊普通合伙）四川分所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lang w:val="en-US" w:eastAsia="zh-CN" w:bidi="ar-SA"/>
        </w:rPr>
        <w:t>四川志和会计师事务所（普通合伙）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lang w:val="en-US" w:eastAsia="zh-CN" w:bidi="ar-SA"/>
        </w:rPr>
        <w:t>四川万友会计师事务所有限公司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lang w:val="en-US" w:eastAsia="zh-CN" w:bidi="ar-SA"/>
        </w:rPr>
        <w:t>四川汇丰会计师事务所有限责任公司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lang w:val="en-US" w:eastAsia="zh-CN" w:bidi="ar-SA"/>
        </w:rPr>
        <w:t>四川德誉会计师事务所有限责任公司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lang w:val="en-US" w:eastAsia="zh-CN" w:bidi="ar-SA"/>
        </w:rPr>
        <w:t>容诚会计师事务所（特殊普通合伙）四川分所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  <w:sectPr>
          <w:pgSz w:w="11906" w:h="16838"/>
          <w:pgMar w:top="2098" w:right="1474" w:bottom="1984" w:left="1587" w:header="851" w:footer="1587" w:gutter="0"/>
          <w:pgNumType w:fmt="decimal"/>
          <w:cols w:space="720" w:num="1"/>
          <w:docGrid w:type="lines" w:linePitch="312" w:charSpace="0"/>
        </w:sectPr>
      </w:pPr>
    </w:p>
    <w:p>
      <w:pPr>
        <w:pStyle w:val="11"/>
        <w:widowControl/>
        <w:spacing w:before="0" w:beforeAutospacing="0" w:after="0" w:afterAutospacing="0"/>
        <w:outlineLvl w:val="9"/>
        <w:rPr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  <w:t>附件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  <w:lang w:val="en-US" w:eastAsia="zh-CN"/>
        </w:rPr>
        <w:t>2</w:t>
      </w:r>
    </w:p>
    <w:p>
      <w:pPr>
        <w:pStyle w:val="11"/>
        <w:widowControl/>
        <w:spacing w:before="0" w:beforeAutospacing="0" w:after="0" w:afterAutospacing="0"/>
        <w:outlineLvl w:val="9"/>
        <w:rPr>
          <w:rFonts w:hint="default" w:ascii="Times New Roman" w:hAnsi="Times New Roman" w:eastAsia="黑体" w:cs="Times New Roman"/>
          <w:color w:val="00000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pacing w:val="-6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_GBK" w:cs="Times New Roman"/>
          <w:color w:val="auto"/>
          <w:spacing w:val="-6"/>
          <w:sz w:val="44"/>
          <w:szCs w:val="44"/>
          <w:lang w:val="en-US" w:eastAsia="zh-CN"/>
        </w:rPr>
        <w:t>拟命名“蓉城先锋·诚信注会”诚信建设</w:t>
      </w:r>
      <w:r>
        <w:rPr>
          <w:rFonts w:hint="eastAsia" w:ascii="Times New Roman" w:hAnsi="Times New Roman" w:eastAsia="方正小标宋_GBK" w:cs="Times New Roman"/>
          <w:color w:val="auto"/>
          <w:spacing w:val="-6"/>
          <w:sz w:val="44"/>
          <w:szCs w:val="44"/>
          <w:lang w:val="en-US" w:eastAsia="zh-CN"/>
        </w:rPr>
        <w:t>标兵</w:t>
      </w:r>
      <w:r>
        <w:rPr>
          <w:rFonts w:hint="default" w:ascii="Times New Roman" w:hAnsi="Times New Roman" w:eastAsia="方正小标宋_GBK" w:cs="Times New Roman"/>
          <w:color w:val="auto"/>
          <w:spacing w:val="-6"/>
          <w:sz w:val="44"/>
          <w:szCs w:val="44"/>
          <w:lang w:val="en-US" w:eastAsia="zh-CN"/>
        </w:rPr>
        <w:t>名</w:t>
      </w:r>
      <w:r>
        <w:rPr>
          <w:rFonts w:hint="eastAsia" w:eastAsia="方正小标宋_GBK" w:cs="Times New Roman"/>
          <w:color w:val="auto"/>
          <w:spacing w:val="-6"/>
          <w:sz w:val="44"/>
          <w:szCs w:val="44"/>
          <w:lang w:val="en-US" w:eastAsia="zh-CN"/>
        </w:rPr>
        <w:t>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</w:pPr>
      <w:r>
        <w:rPr>
          <w:rFonts w:hint="eastAsia" w:ascii="楷体" w:hAnsi="楷体" w:eastAsia="楷体" w:cs="楷体"/>
          <w:color w:val="auto"/>
          <w:sz w:val="32"/>
          <w:szCs w:val="32"/>
          <w:lang w:val="en-US" w:eastAsia="zh-CN"/>
        </w:rPr>
        <w:t>（共31名，排名不分先后）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default" w:ascii="Times New Roman" w:hAnsi="Times New Roman" w:eastAsia="方正小标宋_GBK" w:cs="Times New Roman"/>
          <w:color w:val="auto"/>
          <w:sz w:val="44"/>
          <w:szCs w:val="44"/>
          <w:lang w:val="en-US" w:eastAsia="zh-CN"/>
        </w:rPr>
      </w:pPr>
      <w:bookmarkStart w:id="0" w:name="_GoBack"/>
      <w:bookmarkEnd w:id="0"/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32" w:firstLineChars="200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李  勇 四川嘉汇会计师事务所有限责任公司 董事长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32" w:firstLineChars="200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许兵伦 四川德文会计师事务所（特殊普通合伙） 首席合伙人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32" w:firstLineChars="200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李海英 四川德誉会计师事务所有限责任公司 技术总监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32" w:firstLineChars="200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陈维亮 四川维诚会计师事务所有限公司 董事长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32" w:firstLineChars="200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李  毅 四川亿永正勤会计师事务所有限责任公司 主任会计师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32" w:firstLineChars="200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张  杰 四川万友会计师事务所有限公司 主任会计师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32" w:firstLineChars="200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阮响华 天健会计师事务所（特殊普通合伙）四川分所 总经理、高级合伙人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32" w:firstLineChars="200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刘  雨 四川永乐会计师事务所有限责任公司 所长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32" w:firstLineChars="200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徐桂霞 四川中振会计师事务有限责任公司 总经理、主任会计师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32" w:firstLineChars="200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龚荣华 大信会计师事务所（特殊普通合伙）四川分所 高级合伙人、总经理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32" w:firstLineChars="200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廖道蓉 中天浩会计师事务所有限公司 总经理、主任会计师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32" w:firstLineChars="200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肖秋妹 四川中振会计师事务有限责任公司 副总经理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32" w:firstLineChars="200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刘彬文 中汇会计师事务所（特殊普通合伙）成都分所 主管合伙人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32" w:firstLineChars="200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淦涛涛 信永中和会计师事务所（特殊普通合伙）成都分所 合伙人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32" w:firstLineChars="200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杨  敏 中天运会计师事务所（特殊普通合伙）四川分所 所长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32" w:firstLineChars="200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杨  燕 四川中砝会计师事务所有限责任公司 合伙人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32" w:firstLineChars="200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张雅立 四川中衡安信会计师事务所有限公司 副总经理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32" w:firstLineChars="200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魏世财 四川德文会计师事务所（特殊普通合伙） 合伙人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32" w:firstLineChars="200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钟  彦 中天运会计师事务所（特殊普通合伙）四川分所 副所长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32" w:firstLineChars="200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" w:cs="Times New Roman"/>
          <w:color w:val="auto"/>
          <w:sz w:val="32"/>
          <w:szCs w:val="32"/>
          <w:lang w:val="en-US" w:eastAsia="zh-CN"/>
        </w:rPr>
        <w:t>何  勇 信永中和会计师事务所（特殊普通合伙）成都分所 副主任会计师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lang w:val="en-US" w:eastAsia="zh-CN" w:bidi="ar-SA"/>
        </w:rPr>
        <w:t>贺兆新 中天浩会计师事务所有限公司 董事长、首席合伙人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32" w:firstLineChars="200"/>
        <w:textAlignment w:val="auto"/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lang w:val="en-US" w:eastAsia="zh-CN" w:bidi="ar-SA"/>
        </w:rPr>
        <w:t>陈洪涛 信永中和会计师事务所（特殊普通合伙）成都分所 合伙人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lang w:val="en-US" w:eastAsia="zh-CN" w:bidi="ar-SA"/>
        </w:rPr>
        <w:t>周泽发 四川中砝会计师事务所有限责任公司 合伙人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32" w:firstLineChars="200"/>
        <w:textAlignment w:val="auto"/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lang w:val="en-US" w:eastAsia="zh-CN" w:bidi="ar-SA"/>
        </w:rPr>
        <w:t>周  刚 大信会计师事务所（特殊普通合伙）四川分所 高级经理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lang w:val="en-US" w:eastAsia="zh-CN" w:bidi="ar-SA"/>
        </w:rPr>
        <w:t>刘祖良 中天运会计师事务所（特殊普通合伙）四川分所 部门经理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lang w:val="en-US" w:eastAsia="zh-CN" w:bidi="ar-SA"/>
        </w:rPr>
        <w:t>姜  均 四川华信（集团）会计师事务所（特殊普通合伙） 合伙人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lang w:val="en-US" w:eastAsia="zh-CN" w:bidi="ar-SA"/>
        </w:rPr>
        <w:t>韩  莉 四川中衡安信会计师事务所有限公司 副总经理</w:t>
      </w:r>
      <w:r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lang w:val="en-US" w:eastAsia="zh-CN" w:bidi="ar-SA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lang w:val="en-US" w:eastAsia="zh-CN" w:bidi="ar-SA"/>
        </w:rPr>
        <w:t>陈  斌 四川志和会计师事务所（普通合伙） 首席合伙人</w:t>
      </w:r>
      <w:r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lang w:val="en-US" w:eastAsia="zh-CN" w:bidi="ar-SA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lang w:val="en-US" w:eastAsia="zh-CN" w:bidi="ar-SA"/>
        </w:rPr>
        <w:t>杨秀容 容诚会计师事务所（特殊普通合伙）四川分所 授薪合伙人</w:t>
      </w:r>
      <w:r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lang w:val="en-US" w:eastAsia="zh-CN" w:bidi="ar-SA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lang w:val="en-US" w:eastAsia="zh-CN" w:bidi="ar-SA"/>
        </w:rPr>
        <w:t xml:space="preserve">田先楚 四川华文会计师事务所有限公司 </w:t>
      </w:r>
      <w:r>
        <w:rPr>
          <w:rFonts w:hint="default" w:ascii="Times New Roman" w:hAnsi="Times New Roman" w:eastAsia="仿宋" w:cs="Times New Roman"/>
          <w:color w:val="000000"/>
          <w:kern w:val="0"/>
          <w:sz w:val="32"/>
          <w:szCs w:val="32"/>
        </w:rPr>
        <w:t>审计部主任</w:t>
      </w:r>
      <w:r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lang w:val="en-US" w:eastAsia="zh-CN" w:bidi="ar-SA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32" w:firstLineChars="200"/>
        <w:textAlignment w:val="auto"/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lang w:val="en-US" w:eastAsia="zh-CN" w:bidi="ar-SA"/>
        </w:rPr>
        <w:t>闫登峰 大华会计师事务所（特殊普通合伙）四川分所 合伙人</w:t>
      </w:r>
      <w:r>
        <w:rPr>
          <w:rFonts w:hint="default" w:ascii="Times New Roman" w:hAnsi="Times New Roman" w:eastAsia="仿宋" w:cs="Times New Roman"/>
          <w:color w:val="auto"/>
          <w:kern w:val="2"/>
          <w:sz w:val="32"/>
          <w:szCs w:val="32"/>
          <w:lang w:val="en-US" w:eastAsia="zh-CN" w:bidi="ar-SA"/>
        </w:rPr>
        <w:tab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textAlignment w:val="auto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</w:p>
    <w:p>
      <w:pPr>
        <w:pStyle w:val="9"/>
        <w:pBdr>
          <w:bottom w:val="single" w:color="auto" w:sz="4" w:space="1"/>
        </w:pBdr>
        <w:tabs>
          <w:tab w:val="left" w:pos="954"/>
          <w:tab w:val="clear" w:pos="4153"/>
        </w:tabs>
        <w:spacing w:line="420" w:lineRule="exact"/>
        <w:ind w:left="-8" w:firstLine="8"/>
        <w:jc w:val="left"/>
        <w:rPr>
          <w:rFonts w:hint="eastAsia" w:ascii="仿宋" w:hAnsi="仿宋" w:eastAsia="仿宋" w:cs="仿宋"/>
          <w:sz w:val="28"/>
          <w:szCs w:val="28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15240</wp:posOffset>
                </wp:positionH>
                <wp:positionV relativeFrom="paragraph">
                  <wp:posOffset>4445</wp:posOffset>
                </wp:positionV>
                <wp:extent cx="5579745" cy="635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022985" y="4486275"/>
                          <a:ext cx="5579745" cy="635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/>
                        </a:lnRef>
                        <a:fillRef idx="0">
                          <a:srgbClr val="FFFFFF"/>
                        </a:fillRef>
                        <a:effectRef idx="0">
                          <a:srgbClr val="FFFFFF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1.2pt;margin-top:0.35pt;height:0.05pt;width:439.35pt;z-index:251661312;mso-width-relative:page;mso-height-relative:page;" filled="f" stroked="t" coordsize="21600,21600" o:gfxdata="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/iOVO1AAA&#10;AAMBAAAPAAAAAAAAAAEAIAAAACIAAABkcnMvZG93bnJldi54bWxQSwECFAAUAAAACACHTuJANoag&#10;AukBAACoAwAADgAAAAAAAAABACAAAAAjAQAAZHJzL2Uyb0RvYy54bWxQSwUGAAAAAAYABgBZAQAA&#10;fgUAAAAA&#10;">
                <v:fill on="f" focussize="0,0"/>
                <v:stroke weight="0.25pt" color="#000000 [3213]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default" w:ascii="Times New Roman" w:hAnsi="Times New Roman" w:eastAsia="仿宋" w:cs="Times New Roman"/>
          <w:sz w:val="28"/>
          <w:szCs w:val="28"/>
        </w:rPr>
        <w:t>中共成都市注册会计师行业委员会办公室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 xml:space="preserve">  </w:t>
      </w:r>
      <w:r>
        <w:rPr>
          <w:rFonts w:hint="eastAsia" w:eastAsia="仿宋" w:cs="Times New Roman"/>
          <w:sz w:val="28"/>
          <w:szCs w:val="28"/>
          <w:lang w:val="en-US" w:eastAsia="zh-CN"/>
        </w:rPr>
        <w:t xml:space="preserve">      </w:t>
      </w:r>
      <w:r>
        <w:rPr>
          <w:rFonts w:hint="default" w:ascii="Times New Roman" w:hAnsi="Times New Roman" w:eastAsia="仿宋" w:cs="Times New Roman"/>
          <w:sz w:val="28"/>
          <w:szCs w:val="28"/>
        </w:rPr>
        <w:t>20</w:t>
      </w:r>
      <w:r>
        <w:rPr>
          <w:rFonts w:hint="eastAsia" w:eastAsia="仿宋" w:cs="Times New Roman"/>
          <w:sz w:val="28"/>
          <w:szCs w:val="28"/>
          <w:lang w:val="en-US" w:eastAsia="zh-CN"/>
        </w:rPr>
        <w:t>23</w:t>
      </w:r>
      <w:r>
        <w:rPr>
          <w:rFonts w:hint="default" w:ascii="Times New Roman" w:hAnsi="Times New Roman" w:eastAsia="仿宋" w:cs="Times New Roman"/>
          <w:sz w:val="28"/>
          <w:szCs w:val="28"/>
        </w:rPr>
        <w:t>年</w:t>
      </w:r>
      <w:r>
        <w:rPr>
          <w:rFonts w:hint="eastAsia" w:eastAsia="仿宋" w:cs="Times New Roman"/>
          <w:sz w:val="28"/>
          <w:szCs w:val="28"/>
          <w:lang w:val="en-US" w:eastAsia="zh-CN"/>
        </w:rPr>
        <w:t>12</w:t>
      </w:r>
      <w:r>
        <w:rPr>
          <w:rFonts w:hint="default" w:ascii="Times New Roman" w:hAnsi="Times New Roman" w:eastAsia="仿宋" w:cs="Times New Roman"/>
          <w:sz w:val="28"/>
          <w:szCs w:val="28"/>
        </w:rPr>
        <w:t>月</w:t>
      </w:r>
      <w:r>
        <w:rPr>
          <w:rFonts w:hint="eastAsia" w:eastAsia="仿宋" w:cs="Times New Roman"/>
          <w:sz w:val="28"/>
          <w:szCs w:val="28"/>
          <w:lang w:val="en-US" w:eastAsia="zh-CN"/>
        </w:rPr>
        <w:t>5</w:t>
      </w:r>
      <w:r>
        <w:rPr>
          <w:rFonts w:hint="default" w:ascii="Times New Roman" w:hAnsi="Times New Roman" w:eastAsia="仿宋" w:cs="Times New Roman"/>
          <w:sz w:val="28"/>
          <w:szCs w:val="28"/>
        </w:rPr>
        <w:t>日印发</w:t>
      </w:r>
      <w:r>
        <w:rPr>
          <w:rFonts w:hint="default" w:ascii="Times New Roman" w:hAnsi="Times New Roman" w:eastAsia="仿宋" w:cs="Times New Roman"/>
          <w:sz w:val="28"/>
          <w:szCs w:val="28"/>
          <w:lang w:val="en-US" w:eastAsia="zh-CN"/>
        </w:rPr>
        <w:t xml:space="preserve">     </w:t>
      </w:r>
      <w:r>
        <w:rPr>
          <w:rFonts w:hint="eastAsia" w:eastAsia="仿宋" w:cs="Times New Roman"/>
          <w:sz w:val="28"/>
          <w:szCs w:val="28"/>
          <w:lang w:val="en-US" w:eastAsia="zh-CN"/>
        </w:rPr>
        <w:t xml:space="preserve">                         </w:t>
      </w:r>
    </w:p>
    <w:sectPr>
      <w:footerReference r:id="rId4" w:type="default"/>
      <w:pgSz w:w="11906" w:h="16838"/>
      <w:pgMar w:top="2098" w:right="1474" w:bottom="1984" w:left="1587" w:header="851" w:footer="1587" w:gutter="0"/>
      <w:pgNumType w:fmt="numberInDash"/>
      <w:cols w:space="0" w:num="1"/>
      <w:rtlGutter w:val="0"/>
      <w:docGrid w:type="linesAndChars" w:linePitch="579" w:charSpace="-84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swiss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方正仿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8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  <w:rPr>
                              <w:rFonts w:hint="eastAsia" w:eastAsia="仿宋_GB2312"/>
                              <w:lang w:eastAsia="zh-CN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  <w:rPr>
                        <w:rFonts w:hint="eastAsia" w:eastAsia="仿宋_GB2312"/>
                        <w:lang w:eastAsia="zh-CN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HorizontalSpacing w:val="160"/>
  <w:drawingGridVerticalSpacing w:val="290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JiZTA3MjcyNGUxMDVkZjkxMjhiYzgzZmY3NzkyYWEifQ=="/>
  </w:docVars>
  <w:rsids>
    <w:rsidRoot w:val="00BC2B70"/>
    <w:rsid w:val="00006F38"/>
    <w:rsid w:val="000A6EAE"/>
    <w:rsid w:val="000E6FEA"/>
    <w:rsid w:val="000F4CAE"/>
    <w:rsid w:val="001035C6"/>
    <w:rsid w:val="001175D8"/>
    <w:rsid w:val="00152D39"/>
    <w:rsid w:val="00165A81"/>
    <w:rsid w:val="001830C0"/>
    <w:rsid w:val="001C1A06"/>
    <w:rsid w:val="00202C8A"/>
    <w:rsid w:val="00207BF7"/>
    <w:rsid w:val="00223D7C"/>
    <w:rsid w:val="00224A2B"/>
    <w:rsid w:val="00234EA3"/>
    <w:rsid w:val="002612DE"/>
    <w:rsid w:val="00283328"/>
    <w:rsid w:val="002A0BF3"/>
    <w:rsid w:val="002B7325"/>
    <w:rsid w:val="002C255D"/>
    <w:rsid w:val="002F7DC4"/>
    <w:rsid w:val="00314CB1"/>
    <w:rsid w:val="00314E3C"/>
    <w:rsid w:val="003219FF"/>
    <w:rsid w:val="00360A5E"/>
    <w:rsid w:val="00383C01"/>
    <w:rsid w:val="003C0D9F"/>
    <w:rsid w:val="003E71AF"/>
    <w:rsid w:val="003E7B8F"/>
    <w:rsid w:val="003F1A71"/>
    <w:rsid w:val="003F65FE"/>
    <w:rsid w:val="00443B15"/>
    <w:rsid w:val="0046613D"/>
    <w:rsid w:val="00467AA6"/>
    <w:rsid w:val="00486504"/>
    <w:rsid w:val="004C07DC"/>
    <w:rsid w:val="004D392C"/>
    <w:rsid w:val="005159C2"/>
    <w:rsid w:val="005259A2"/>
    <w:rsid w:val="0054249F"/>
    <w:rsid w:val="00555026"/>
    <w:rsid w:val="00563257"/>
    <w:rsid w:val="00574547"/>
    <w:rsid w:val="00593E9A"/>
    <w:rsid w:val="005E0CEF"/>
    <w:rsid w:val="005F18DD"/>
    <w:rsid w:val="00600213"/>
    <w:rsid w:val="006119E6"/>
    <w:rsid w:val="00630C3E"/>
    <w:rsid w:val="00636FD1"/>
    <w:rsid w:val="006547AF"/>
    <w:rsid w:val="006717AD"/>
    <w:rsid w:val="006B6268"/>
    <w:rsid w:val="006D5503"/>
    <w:rsid w:val="006E24F4"/>
    <w:rsid w:val="006F067C"/>
    <w:rsid w:val="0070170C"/>
    <w:rsid w:val="00712827"/>
    <w:rsid w:val="007215A8"/>
    <w:rsid w:val="00741816"/>
    <w:rsid w:val="0074333B"/>
    <w:rsid w:val="00762F93"/>
    <w:rsid w:val="00765EA2"/>
    <w:rsid w:val="007C399E"/>
    <w:rsid w:val="007D5066"/>
    <w:rsid w:val="00807F20"/>
    <w:rsid w:val="00813180"/>
    <w:rsid w:val="00840ACF"/>
    <w:rsid w:val="008466DA"/>
    <w:rsid w:val="0087378F"/>
    <w:rsid w:val="008976B2"/>
    <w:rsid w:val="008A6030"/>
    <w:rsid w:val="008B1274"/>
    <w:rsid w:val="008B453E"/>
    <w:rsid w:val="008E57D5"/>
    <w:rsid w:val="00910249"/>
    <w:rsid w:val="0091186A"/>
    <w:rsid w:val="009558E5"/>
    <w:rsid w:val="00973EB5"/>
    <w:rsid w:val="009845D9"/>
    <w:rsid w:val="009A1CF7"/>
    <w:rsid w:val="009C4857"/>
    <w:rsid w:val="009F17F3"/>
    <w:rsid w:val="00A30185"/>
    <w:rsid w:val="00A34F07"/>
    <w:rsid w:val="00A81845"/>
    <w:rsid w:val="00A94856"/>
    <w:rsid w:val="00B03CD2"/>
    <w:rsid w:val="00B0496C"/>
    <w:rsid w:val="00B07B9F"/>
    <w:rsid w:val="00B130BF"/>
    <w:rsid w:val="00B24F7D"/>
    <w:rsid w:val="00B4228D"/>
    <w:rsid w:val="00B81853"/>
    <w:rsid w:val="00BB0225"/>
    <w:rsid w:val="00BB7A58"/>
    <w:rsid w:val="00BC2B70"/>
    <w:rsid w:val="00BC4E9B"/>
    <w:rsid w:val="00BE3177"/>
    <w:rsid w:val="00C64D3C"/>
    <w:rsid w:val="00CB1592"/>
    <w:rsid w:val="00CD1CF4"/>
    <w:rsid w:val="00CE7DC0"/>
    <w:rsid w:val="00D0254B"/>
    <w:rsid w:val="00D42FF4"/>
    <w:rsid w:val="00D8671F"/>
    <w:rsid w:val="00E10086"/>
    <w:rsid w:val="00E317B7"/>
    <w:rsid w:val="00E43A55"/>
    <w:rsid w:val="00E445D5"/>
    <w:rsid w:val="00E620FA"/>
    <w:rsid w:val="00E635D9"/>
    <w:rsid w:val="00E66BCA"/>
    <w:rsid w:val="00E66BCB"/>
    <w:rsid w:val="00E854FA"/>
    <w:rsid w:val="00EA0E87"/>
    <w:rsid w:val="00EB0FB5"/>
    <w:rsid w:val="00ED794A"/>
    <w:rsid w:val="00EE7A95"/>
    <w:rsid w:val="00F00482"/>
    <w:rsid w:val="00F15FC6"/>
    <w:rsid w:val="00F2388A"/>
    <w:rsid w:val="00F8062C"/>
    <w:rsid w:val="00F825E5"/>
    <w:rsid w:val="00FB0E27"/>
    <w:rsid w:val="00FC2408"/>
    <w:rsid w:val="00FC2876"/>
    <w:rsid w:val="00FC2D6D"/>
    <w:rsid w:val="00FC314D"/>
    <w:rsid w:val="00FE0627"/>
    <w:rsid w:val="00FE7455"/>
    <w:rsid w:val="00FF1F6E"/>
    <w:rsid w:val="010C0CCD"/>
    <w:rsid w:val="0319403A"/>
    <w:rsid w:val="04072EE1"/>
    <w:rsid w:val="045D1AAF"/>
    <w:rsid w:val="05D16844"/>
    <w:rsid w:val="075F588D"/>
    <w:rsid w:val="09985E87"/>
    <w:rsid w:val="0A5A5AF0"/>
    <w:rsid w:val="0BEF4784"/>
    <w:rsid w:val="0C4B2624"/>
    <w:rsid w:val="113879CF"/>
    <w:rsid w:val="13747D8D"/>
    <w:rsid w:val="138F7915"/>
    <w:rsid w:val="14172D4D"/>
    <w:rsid w:val="14EE63C6"/>
    <w:rsid w:val="17C17586"/>
    <w:rsid w:val="1832272D"/>
    <w:rsid w:val="1A615243"/>
    <w:rsid w:val="1F62409D"/>
    <w:rsid w:val="1F7D5103"/>
    <w:rsid w:val="204C243A"/>
    <w:rsid w:val="212D1981"/>
    <w:rsid w:val="25C00234"/>
    <w:rsid w:val="26CB5AF1"/>
    <w:rsid w:val="2728014B"/>
    <w:rsid w:val="29574A3D"/>
    <w:rsid w:val="2D05492D"/>
    <w:rsid w:val="2D7D0F08"/>
    <w:rsid w:val="2E9F133B"/>
    <w:rsid w:val="2ECB0480"/>
    <w:rsid w:val="30B17FF6"/>
    <w:rsid w:val="3333590B"/>
    <w:rsid w:val="3B4D7174"/>
    <w:rsid w:val="3E811232"/>
    <w:rsid w:val="4222004F"/>
    <w:rsid w:val="442632B2"/>
    <w:rsid w:val="449210F9"/>
    <w:rsid w:val="44ED00B0"/>
    <w:rsid w:val="46AA4B1D"/>
    <w:rsid w:val="47B00580"/>
    <w:rsid w:val="49386C0F"/>
    <w:rsid w:val="4D0A3DF4"/>
    <w:rsid w:val="4F1F6870"/>
    <w:rsid w:val="501C0A1C"/>
    <w:rsid w:val="56156B88"/>
    <w:rsid w:val="57A459EA"/>
    <w:rsid w:val="5823612A"/>
    <w:rsid w:val="58E6358E"/>
    <w:rsid w:val="59917FBE"/>
    <w:rsid w:val="5A557AE7"/>
    <w:rsid w:val="5AB8100B"/>
    <w:rsid w:val="5B781A0B"/>
    <w:rsid w:val="5F200725"/>
    <w:rsid w:val="60D2707D"/>
    <w:rsid w:val="610063D3"/>
    <w:rsid w:val="62004446"/>
    <w:rsid w:val="63A5658C"/>
    <w:rsid w:val="64D434B5"/>
    <w:rsid w:val="65A405CD"/>
    <w:rsid w:val="69A3294D"/>
    <w:rsid w:val="6B1C6209"/>
    <w:rsid w:val="6B8E6F03"/>
    <w:rsid w:val="6C71090C"/>
    <w:rsid w:val="6FA026D1"/>
    <w:rsid w:val="71597972"/>
    <w:rsid w:val="75D83E13"/>
    <w:rsid w:val="790B2BB7"/>
    <w:rsid w:val="796014F9"/>
    <w:rsid w:val="796849F4"/>
    <w:rsid w:val="7D982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3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4">
    <w:name w:val="heading 2"/>
    <w:basedOn w:val="1"/>
    <w:next w:val="1"/>
    <w:link w:val="20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6">
    <w:name w:val="Default Paragraph Font"/>
    <w:link w:val="17"/>
    <w:semiHidden/>
    <w:unhideWhenUsed/>
    <w:qFormat/>
    <w:uiPriority w:val="1"/>
    <w:rPr>
      <w:rFonts w:ascii="Verdana" w:hAnsi="Verdana" w:eastAsia="宋体"/>
      <w:kern w:val="0"/>
      <w:sz w:val="20"/>
      <w:szCs w:val="20"/>
      <w:lang w:eastAsia="en-US"/>
    </w:rPr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99"/>
    <w:pPr>
      <w:spacing w:after="120"/>
    </w:pPr>
  </w:style>
  <w:style w:type="paragraph" w:styleId="5">
    <w:name w:val="Body Text Indent"/>
    <w:basedOn w:val="1"/>
    <w:link w:val="28"/>
    <w:qFormat/>
    <w:uiPriority w:val="0"/>
    <w:pPr>
      <w:spacing w:line="340" w:lineRule="atLeast"/>
      <w:ind w:firstLine="524" w:firstLineChars="222"/>
    </w:pPr>
    <w:rPr>
      <w:spacing w:val="-22"/>
      <w:sz w:val="28"/>
      <w:szCs w:val="18"/>
    </w:rPr>
  </w:style>
  <w:style w:type="paragraph" w:styleId="6">
    <w:name w:val="Date"/>
    <w:basedOn w:val="1"/>
    <w:next w:val="1"/>
    <w:link w:val="27"/>
    <w:semiHidden/>
    <w:unhideWhenUsed/>
    <w:qFormat/>
    <w:uiPriority w:val="99"/>
    <w:pPr>
      <w:ind w:left="100" w:leftChars="2500"/>
    </w:pPr>
  </w:style>
  <w:style w:type="paragraph" w:styleId="7">
    <w:name w:val="Balloon Text"/>
    <w:basedOn w:val="1"/>
    <w:link w:val="25"/>
    <w:semiHidden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2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link w:val="23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0">
    <w:name w:val="toc 1"/>
    <w:basedOn w:val="1"/>
    <w:next w:val="1"/>
    <w:unhideWhenUsed/>
    <w:qFormat/>
    <w:uiPriority w:val="39"/>
    <w:pPr>
      <w:tabs>
        <w:tab w:val="right" w:leader="dot" w:pos="8494"/>
      </w:tabs>
    </w:pPr>
  </w:style>
  <w:style w:type="paragraph" w:styleId="11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2">
    <w:name w:val="Title"/>
    <w:basedOn w:val="1"/>
    <w:next w:val="1"/>
    <w:link w:val="29"/>
    <w:qFormat/>
    <w:uiPriority w:val="10"/>
    <w:pPr>
      <w:spacing w:before="240" w:after="60"/>
      <w:jc w:val="center"/>
      <w:outlineLvl w:val="0"/>
    </w:pPr>
    <w:rPr>
      <w:rFonts w:ascii="Cambria" w:hAnsi="Cambria" w:eastAsia="宋体"/>
      <w:b/>
      <w:bCs/>
    </w:rPr>
  </w:style>
  <w:style w:type="paragraph" w:styleId="13">
    <w:name w:val="Body Text First Indent 2"/>
    <w:basedOn w:val="5"/>
    <w:qFormat/>
    <w:uiPriority w:val="99"/>
    <w:pPr>
      <w:ind w:firstLine="420" w:firstLineChars="200"/>
    </w:p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7">
    <w:name w:val=" Char Char3"/>
    <w:basedOn w:val="1"/>
    <w:link w:val="16"/>
    <w:qFormat/>
    <w:uiPriority w:val="0"/>
    <w:pPr>
      <w:widowControl/>
      <w:snapToGrid w:val="0"/>
      <w:spacing w:line="240" w:lineRule="exact"/>
      <w:jc w:val="left"/>
    </w:pPr>
    <w:rPr>
      <w:rFonts w:ascii="Verdana" w:hAnsi="Verdana" w:eastAsia="宋体"/>
      <w:kern w:val="0"/>
      <w:sz w:val="20"/>
      <w:szCs w:val="20"/>
      <w:lang w:eastAsia="en-US"/>
    </w:rPr>
  </w:style>
  <w:style w:type="character" w:styleId="18">
    <w:name w:val="page number"/>
    <w:basedOn w:val="16"/>
    <w:qFormat/>
    <w:uiPriority w:val="0"/>
  </w:style>
  <w:style w:type="character" w:styleId="19">
    <w:name w:val="Hyperlink"/>
    <w:basedOn w:val="16"/>
    <w:unhideWhenUsed/>
    <w:qFormat/>
    <w:uiPriority w:val="99"/>
    <w:rPr>
      <w:color w:val="0000FF"/>
      <w:u w:val="single"/>
    </w:rPr>
  </w:style>
  <w:style w:type="character" w:customStyle="1" w:styleId="20">
    <w:name w:val="标题 2 Char"/>
    <w:basedOn w:val="16"/>
    <w:link w:val="4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paragraph" w:styleId="21">
    <w:name w:val="List Paragraph"/>
    <w:basedOn w:val="1"/>
    <w:qFormat/>
    <w:uiPriority w:val="34"/>
    <w:pPr>
      <w:ind w:firstLine="420" w:firstLineChars="200"/>
    </w:pPr>
  </w:style>
  <w:style w:type="character" w:customStyle="1" w:styleId="22">
    <w:name w:val="apple-converted-space"/>
    <w:basedOn w:val="16"/>
    <w:qFormat/>
    <w:uiPriority w:val="0"/>
  </w:style>
  <w:style w:type="character" w:customStyle="1" w:styleId="23">
    <w:name w:val="页眉 Char"/>
    <w:basedOn w:val="16"/>
    <w:link w:val="9"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24">
    <w:name w:val="页脚 Char"/>
    <w:basedOn w:val="16"/>
    <w:link w:val="8"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25">
    <w:name w:val="批注框文本 Char"/>
    <w:basedOn w:val="16"/>
    <w:link w:val="7"/>
    <w:semiHidden/>
    <w:qFormat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26">
    <w:name w:val="标题 1 Char"/>
    <w:basedOn w:val="16"/>
    <w:link w:val="3"/>
    <w:qFormat/>
    <w:uiPriority w:val="9"/>
    <w:rPr>
      <w:rFonts w:ascii="Times New Roman" w:hAnsi="Times New Roman" w:eastAsia="仿宋_GB2312" w:cs="Times New Roman"/>
      <w:b/>
      <w:bCs/>
      <w:kern w:val="44"/>
      <w:sz w:val="44"/>
      <w:szCs w:val="44"/>
    </w:rPr>
  </w:style>
  <w:style w:type="character" w:customStyle="1" w:styleId="27">
    <w:name w:val="日期 Char"/>
    <w:basedOn w:val="16"/>
    <w:link w:val="6"/>
    <w:semiHidden/>
    <w:qFormat/>
    <w:uiPriority w:val="99"/>
    <w:rPr>
      <w:rFonts w:ascii="Times New Roman" w:hAnsi="Times New Roman" w:eastAsia="仿宋_GB2312" w:cs="Times New Roman"/>
      <w:sz w:val="32"/>
      <w:szCs w:val="32"/>
    </w:rPr>
  </w:style>
  <w:style w:type="character" w:customStyle="1" w:styleId="28">
    <w:name w:val="正文文本缩进 Char"/>
    <w:basedOn w:val="16"/>
    <w:link w:val="5"/>
    <w:qFormat/>
    <w:uiPriority w:val="0"/>
    <w:rPr>
      <w:rFonts w:ascii="Times New Roman" w:hAnsi="Times New Roman" w:eastAsia="仿宋_GB2312" w:cs="Times New Roman"/>
      <w:spacing w:val="-22"/>
      <w:sz w:val="28"/>
      <w:szCs w:val="18"/>
    </w:rPr>
  </w:style>
  <w:style w:type="character" w:customStyle="1" w:styleId="29">
    <w:name w:val="标题 Char"/>
    <w:basedOn w:val="16"/>
    <w:link w:val="12"/>
    <w:qFormat/>
    <w:uiPriority w:val="10"/>
    <w:rPr>
      <w:rFonts w:ascii="Cambria" w:hAnsi="Cambria" w:eastAsia="宋体" w:cs="Times New Roman"/>
      <w:b/>
      <w:bCs/>
      <w:sz w:val="32"/>
      <w:szCs w:val="32"/>
    </w:rPr>
  </w:style>
  <w:style w:type="paragraph" w:customStyle="1" w:styleId="30">
    <w:name w:val="TOC 标题1"/>
    <w:basedOn w:val="3"/>
    <w:next w:val="1"/>
    <w:semiHidden/>
    <w:unhideWhenUsed/>
    <w:qFormat/>
    <w:uiPriority w:val="39"/>
    <w:pPr>
      <w:widowControl/>
      <w:spacing w:before="480" w:after="0" w:line="276" w:lineRule="auto"/>
      <w:jc w:val="left"/>
      <w:outlineLvl w:val="9"/>
    </w:pPr>
    <w:rPr>
      <w:rFonts w:ascii="Cambria" w:hAnsi="Cambria" w:eastAsia="宋体"/>
      <w:color w:val="365F91"/>
      <w:kern w:val="0"/>
      <w:sz w:val="28"/>
      <w:szCs w:val="28"/>
    </w:rPr>
  </w:style>
  <w:style w:type="character" w:customStyle="1" w:styleId="31">
    <w:name w:val="style81"/>
    <w:qFormat/>
    <w:uiPriority w:val="0"/>
    <w:rPr>
      <w:rFonts w:hint="eastAsia" w:ascii="宋体" w:hAnsi="宋体" w:eastAsia="宋体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193</Words>
  <Characters>217</Characters>
  <Lines>15</Lines>
  <Paragraphs>4</Paragraphs>
  <TotalTime>4</TotalTime>
  <ScaleCrop>false</ScaleCrop>
  <LinksUpToDate>false</LinksUpToDate>
  <CharactersWithSpaces>329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2018-07-31T01:20:00Z</dcterms:created>
  <dc:creator>dell</dc:creator>
  <cp:lastModifiedBy>Kingki</cp:lastModifiedBy>
  <cp:lastPrinted>2022-05-16T02:06:00Z</cp:lastPrinted>
  <dcterms:modified xsi:type="dcterms:W3CDTF">2023-12-05T03:58:29Z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EF33954E2A83445585A5D7ECF7796B04_13</vt:lpwstr>
  </property>
</Properties>
</file>