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方正仿宋简体" w:cs="Times New Roman"/>
        </w:rPr>
      </w:pP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-76200</wp:posOffset>
            </wp:positionH>
            <wp:positionV relativeFrom="paragraph">
              <wp:posOffset>68580</wp:posOffset>
            </wp:positionV>
            <wp:extent cx="5733415" cy="783590"/>
            <wp:effectExtent l="0" t="0" r="635" b="16510"/>
            <wp:wrapSquare wrapText="bothSides"/>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7"/>
                    <a:srcRect r="12202"/>
                    <a:stretch>
                      <a:fillRect/>
                    </a:stretch>
                  </pic:blipFill>
                  <pic:spPr>
                    <a:xfrm>
                      <a:off x="0" y="0"/>
                      <a:ext cx="5733415" cy="783590"/>
                    </a:xfrm>
                    <a:prstGeom prst="rect">
                      <a:avLst/>
                    </a:prstGeom>
                    <a:noFill/>
                    <a:ln w="9525">
                      <a:noFill/>
                    </a:ln>
                  </pic:spPr>
                </pic:pic>
              </a:graphicData>
            </a:graphic>
          </wp:anchor>
        </w:drawing>
      </w:r>
    </w:p>
    <w:p>
      <w:pPr>
        <w:spacing w:line="320" w:lineRule="exact"/>
        <w:jc w:val="center"/>
        <w:rPr>
          <w:rFonts w:hint="default" w:ascii="Times New Roman" w:hAnsi="Times New Roman" w:eastAsia="方正仿宋简体" w:cs="Times New Roman"/>
        </w:rPr>
      </w:pPr>
      <w:bookmarkStart w:id="0" w:name="_GoBack"/>
      <w:r>
        <w:rPr>
          <w:rFonts w:hint="default" w:ascii="Times New Roman" w:hAnsi="Times New Roman" w:eastAsia="仿宋" w:cs="Times New Roman"/>
          <w:sz w:val="32"/>
          <w:szCs w:val="32"/>
        </w:rPr>
        <w:t>成会行党〔20</w:t>
      </w:r>
      <w:r>
        <w:rPr>
          <w:rFonts w:hint="eastAsia" w:eastAsia="仿宋" w:cs="Times New Roman"/>
          <w:sz w:val="32"/>
          <w:szCs w:val="32"/>
          <w:lang w:val="en-US" w:eastAsia="zh-CN"/>
        </w:rPr>
        <w:t>23</w:t>
      </w:r>
      <w:r>
        <w:rPr>
          <w:rFonts w:hint="default" w:ascii="Times New Roman" w:hAnsi="Times New Roman" w:eastAsia="仿宋" w:cs="Times New Roman"/>
          <w:sz w:val="32"/>
          <w:szCs w:val="32"/>
        </w:rPr>
        <w:t>〕</w:t>
      </w:r>
      <w:r>
        <w:rPr>
          <w:rFonts w:hint="eastAsia" w:eastAsia="仿宋" w:cs="Times New Roman"/>
          <w:sz w:val="32"/>
          <w:szCs w:val="32"/>
          <w:lang w:val="en-US" w:eastAsia="zh-CN"/>
        </w:rPr>
        <w:t>117</w:t>
      </w:r>
      <w:r>
        <w:rPr>
          <w:rFonts w:hint="default" w:ascii="Times New Roman" w:hAnsi="Times New Roman" w:eastAsia="仿宋" w:cs="Times New Roman"/>
          <w:sz w:val="32"/>
          <w:szCs w:val="32"/>
        </w:rPr>
        <w:t>号</w:t>
      </w:r>
    </w:p>
    <w:bookmarkEnd w:id="0"/>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eastAsia="zh-CN"/>
        </w:rPr>
      </w:pPr>
      <w:r>
        <w:rPr>
          <w:sz w:val="44"/>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133985</wp:posOffset>
                </wp:positionV>
                <wp:extent cx="5760085" cy="635"/>
                <wp:effectExtent l="0" t="0" r="0" b="0"/>
                <wp:wrapNone/>
                <wp:docPr id="4" name="直接连接符 4"/>
                <wp:cNvGraphicFramePr/>
                <a:graphic xmlns:a="http://schemas.openxmlformats.org/drawingml/2006/main">
                  <a:graphicData uri="http://schemas.microsoft.com/office/word/2010/wordprocessingShape">
                    <wps:wsp>
                      <wps:cNvCnPr/>
                      <wps:spPr>
                        <a:xfrm flipV="1">
                          <a:off x="765810" y="2915920"/>
                          <a:ext cx="576008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8pt;margin-top:10.55pt;height:0.05pt;width:453.55pt;z-index:251660288;mso-width-relative:page;mso-height-relative:page;" filled="f" stroked="t" coordsize="21600,21600" o:gfxdata="UEsDBAoAAAAAAIdO4kAAAAAAAAAAAAAAAAAEAAAAZHJzL1BLAwQUAAAACACHTuJAa5uIgNgAAAAI&#10;AQAADwAAAGRycy9kb3ducmV2LnhtbE2PwU7DMBBE70j8g7VI3FonQZQmZNMDCIkDl7YgcXTjJQ6N&#10;1yF22pSvr3uC4+yMZt6Wq8l24kCDbx0jpPMEBHHtdMsNwvv2ZbYE4YNirTrHhHAiD6vq+qpUhXZH&#10;XtNhExoRS9gXCsGE0BdS+tqQVX7ueuLofbnBqhDl0Eg9qGMst53MkmQhrWo5LhjV05Oher8ZLcLH&#10;p6GfLH9+M/vt7913eB3laRoRb2/S5BFEoCn8heGCH9Ghikw7N7L2okOY5YuYRMjSFET0l/nDPYjd&#10;5ZCBrEr5/4HqDFBLAwQUAAAACACHTuJAL4bXPPEBAACyAwAADgAAAGRycy9lMm9Eb2MueG1srVPN&#10;bhMxEL4j8Q6W72Q3aZOmq2x6aBQuCCIBvTtee9eS/+Rxs8lL8AJI3ODEkTtvQ3kMxt5tgXLpgT1Y&#10;8+dv5vs8u7o6Gk0OIoBytqbTSUmJsNw1yrY1ff9u+2JJCURmG6adFTU9CaBX6+fPVr2vxMx1Tjci&#10;EASxUPW+pl2MvioK4J0wDCbOC4tJ6YJhEd3QFk1gPaIbXczKclH0LjQ+OC4AMLoZknREDE8BdFIq&#10;LjaO3xph44AahGYRKUGnPNB1nlZKweMbKUFEomuKTGM+sQna+3QW6xWr2sB8p/g4AnvKCI84GaYs&#10;Nn2A2rDIyG1Q/0AZxYMDJ+OEO1MMRLIiyGJaPtLmbce8yFxQavAPosP/g+WvD7tAVFPTc0osM/jg&#10;dx+//fjw+ef3T3jeff1CzpNIvYcKa6/tLowe+F1IjI8yGCK18je4TVkDZEWONb1YzJdT1PlU09nl&#10;dH45G9UWx0g45ucXi7JczinhWLE4m6c2xYCXcH2A+FI4Q5JRU61skoJV7PAK4lB6X5LC1m2V1hhn&#10;lbakr+kZNsfunOGOStwNNI1HnmBbSphucfl5DBkSnFZNup5uQ2j31zqQA8OV2W5L/MbJ/ipLvTcM&#10;uqEup8YybZFH0mtQKFl715yycDmOT5mZjmuXduVPP9/+/au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rm4iA2AAAAAgBAAAPAAAAAAAAAAEAIAAAACIAAABkcnMvZG93bnJldi54bWxQSwECFAAU&#10;AAAACACHTuJAL4bXPPEBAACyAwAADgAAAAAAAAABACAAAAAnAQAAZHJzL2Uyb0RvYy54bWxQSwUG&#10;AAAAAAYABgBZAQAAigUAAAAA&#10;">
                <v:fill on="f" focussize="0,0"/>
                <v:stroke weight="3pt" color="#FF0000 [3204]"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中共成都市注册会计师行业委员会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eastAsia" w:ascii="Times New Roman" w:hAnsi="Times New Roman" w:eastAsia="方正小标宋_GBK" w:cs="Times New Roman"/>
          <w:color w:val="auto"/>
          <w:sz w:val="44"/>
          <w:szCs w:val="44"/>
          <w:lang w:val="en-US" w:eastAsia="zh-CN"/>
        </w:rPr>
        <w:t>关于命名</w:t>
      </w:r>
      <w:r>
        <w:rPr>
          <w:rFonts w:hint="default" w:ascii="Times New Roman" w:hAnsi="Times New Roman" w:eastAsia="方正小标宋_GBK" w:cs="Times New Roman"/>
          <w:color w:val="auto"/>
          <w:sz w:val="44"/>
          <w:szCs w:val="44"/>
          <w:lang w:val="en-US" w:eastAsia="zh-CN"/>
        </w:rPr>
        <w:t>“蓉城先锋·诚信注会”诚信建设点</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和诚信建设标兵</w:t>
      </w:r>
      <w:r>
        <w:rPr>
          <w:rFonts w:hint="eastAsia" w:ascii="Times New Roman" w:hAnsi="Times New Roman" w:eastAsia="方正小标宋_GBK" w:cs="Times New Roman"/>
          <w:color w:val="auto"/>
          <w:sz w:val="44"/>
          <w:szCs w:val="44"/>
          <w:lang w:val="en-US" w:eastAsia="zh-CN"/>
        </w:rPr>
        <w:t>的决定</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各在蓉会计师事务所：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为推进行业诚信建设，选树先进典型，2023年6月，市注册会计师行业党委启动了诚信建设点和诚信建设标兵评选活动。</w:t>
      </w:r>
      <w:r>
        <w:rPr>
          <w:rFonts w:hint="default" w:ascii="Times New Roman" w:hAnsi="Times New Roman" w:eastAsia="仿宋_GB2312" w:cs="Times New Roman"/>
          <w:kern w:val="2"/>
          <w:sz w:val="32"/>
          <w:szCs w:val="32"/>
          <w:lang w:val="en-US" w:eastAsia="zh-CN" w:bidi="ar-SA"/>
        </w:rPr>
        <w:t>经</w:t>
      </w:r>
      <w:r>
        <w:rPr>
          <w:rFonts w:hint="eastAsia" w:ascii="Times New Roman" w:hAnsi="Times New Roman" w:eastAsia="仿宋_GB2312" w:cs="Times New Roman"/>
          <w:kern w:val="2"/>
          <w:sz w:val="32"/>
          <w:szCs w:val="32"/>
          <w:lang w:val="en-US" w:eastAsia="zh-CN" w:bidi="ar-SA"/>
        </w:rPr>
        <w:t>过自主</w:t>
      </w:r>
      <w:r>
        <w:rPr>
          <w:rFonts w:hint="default" w:ascii="Times New Roman" w:hAnsi="Times New Roman" w:eastAsia="仿宋_GB2312" w:cs="Times New Roman"/>
          <w:kern w:val="2"/>
          <w:sz w:val="32"/>
          <w:szCs w:val="32"/>
          <w:lang w:val="en-US" w:eastAsia="zh-CN" w:bidi="ar-SA"/>
        </w:rPr>
        <w:t>申报、网络投票、专家评审</w:t>
      </w:r>
      <w:r>
        <w:rPr>
          <w:rFonts w:hint="eastAsia" w:ascii="Times New Roman" w:hAnsi="Times New Roman" w:eastAsia="仿宋_GB2312" w:cs="Times New Roman"/>
          <w:kern w:val="2"/>
          <w:sz w:val="32"/>
          <w:szCs w:val="32"/>
          <w:lang w:val="en-US" w:eastAsia="zh-CN" w:bidi="ar-SA"/>
        </w:rPr>
        <w:t>、社会公示等程序</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经市注册会计师行业党委审定，</w:t>
      </w:r>
      <w:r>
        <w:rPr>
          <w:rFonts w:hint="default" w:ascii="Times New Roman" w:hAnsi="Times New Roman" w:eastAsia="仿宋_GB2312" w:cs="Times New Roman"/>
          <w:kern w:val="2"/>
          <w:sz w:val="32"/>
          <w:szCs w:val="32"/>
          <w:lang w:val="en-US" w:eastAsia="zh-CN" w:bidi="ar-SA"/>
        </w:rPr>
        <w:t>决定</w:t>
      </w:r>
      <w:r>
        <w:rPr>
          <w:rFonts w:hint="eastAsia" w:ascii="Times New Roman" w:hAnsi="Times New Roman" w:eastAsia="仿宋_GB2312" w:cs="Times New Roman"/>
          <w:kern w:val="2"/>
          <w:sz w:val="32"/>
          <w:szCs w:val="32"/>
          <w:lang w:val="en-US" w:eastAsia="zh-CN" w:bidi="ar-SA"/>
        </w:rPr>
        <w:t>命名</w:t>
      </w:r>
      <w:r>
        <w:rPr>
          <w:rFonts w:hint="default" w:ascii="Times New Roman" w:hAnsi="Times New Roman" w:eastAsia="仿宋" w:cs="Times New Roman"/>
          <w:color w:val="auto"/>
          <w:kern w:val="2"/>
          <w:sz w:val="32"/>
          <w:szCs w:val="32"/>
          <w:lang w:val="en-US" w:eastAsia="zh-CN" w:bidi="ar-SA"/>
        </w:rPr>
        <w:t>信永中和会计师事务所（特殊普通合伙）成都分所等</w:t>
      </w:r>
      <w:r>
        <w:rPr>
          <w:rFonts w:hint="default" w:ascii="Times New Roman" w:hAnsi="Times New Roman" w:eastAsia="仿宋" w:cs="Times New Roman"/>
          <w:color w:val="auto"/>
          <w:sz w:val="32"/>
          <w:szCs w:val="32"/>
          <w:lang w:val="en-US" w:eastAsia="zh-CN"/>
        </w:rPr>
        <w:t>19家会计师事务所为“蓉城先锋·诚信注会”诚信建设点，李勇等31</w:t>
      </w:r>
      <w:r>
        <w:rPr>
          <w:rFonts w:hint="eastAsia" w:ascii="Times New Roman" w:hAnsi="Times New Roman" w:eastAsia="仿宋" w:cs="Times New Roman"/>
          <w:color w:val="auto"/>
          <w:sz w:val="32"/>
          <w:szCs w:val="32"/>
          <w:lang w:val="en-US" w:eastAsia="zh-CN"/>
        </w:rPr>
        <w:t>名注册会计师</w:t>
      </w:r>
      <w:r>
        <w:rPr>
          <w:rFonts w:hint="default" w:ascii="Times New Roman" w:hAnsi="Times New Roman" w:eastAsia="仿宋" w:cs="Times New Roman"/>
          <w:color w:val="auto"/>
          <w:sz w:val="32"/>
          <w:szCs w:val="32"/>
          <w:lang w:val="en-US" w:eastAsia="zh-CN"/>
        </w:rPr>
        <w:t>为“蓉城先锋·诚信注会”诚信建设标兵</w:t>
      </w:r>
      <w:r>
        <w:rPr>
          <w:rFonts w:hint="default" w:ascii="Times New Roman" w:hAnsi="Times New Roman" w:eastAsia="仿宋_GB2312" w:cs="Times New Roman"/>
          <w:kern w:val="2"/>
          <w:sz w:val="32"/>
          <w:szCs w:val="32"/>
          <w:lang w:val="en-US" w:eastAsia="zh-CN" w:bidi="ar-SA"/>
        </w:rPr>
        <w:t>（名单见附件）。</w:t>
      </w:r>
    </w:p>
    <w:p>
      <w:pPr>
        <w:widowControl/>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希望</w:t>
      </w:r>
      <w:r>
        <w:rPr>
          <w:rFonts w:hint="eastAsia" w:ascii="Times New Roman" w:hAnsi="Times New Roman" w:eastAsia="仿宋_GB2312" w:cs="Times New Roman"/>
          <w:kern w:val="2"/>
          <w:sz w:val="32"/>
          <w:szCs w:val="32"/>
          <w:lang w:val="en-US" w:eastAsia="zh-CN" w:bidi="ar-SA"/>
        </w:rPr>
        <w:t>被命名的诚信建设点和诚信建设标兵珍惜荣誉，再接再厉，切实把诚信建设作为常态化工作，常抓不懈、久久为功，发挥好示范引领作用。各会计师事务所及从业人员要以诚信建设点和诚信建设标兵为榜样，认真贯彻落实习近平总书记对行业作出的“要紧紧抓住服务国家建设这个主题和诚信建设这条主线”重要批示精神，坚持诚信为本、质量为先，推动我市注册会计师行业高质量发展，</w:t>
      </w:r>
      <w:r>
        <w:rPr>
          <w:rFonts w:hint="eastAsia" w:ascii="Times New Roman" w:hAnsi="Times New Roman" w:eastAsia="仿宋" w:cs="Times New Roman"/>
          <w:color w:val="auto"/>
          <w:sz w:val="32"/>
          <w:szCs w:val="32"/>
          <w:lang w:val="en-US" w:eastAsia="zh-CN"/>
        </w:rPr>
        <w:t>为成渝地区双城经济圈建设和成都全面建设践行新发展理念的公园城市示范区贡献更多智慧和力量。</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1933" w:leftChars="304" w:hanging="960" w:hangingChars="3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附件：</w:t>
      </w: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“蓉城先锋·诚信注会”诚信建设点</w:t>
      </w:r>
      <w:r>
        <w:rPr>
          <w:rFonts w:hint="eastAsia" w:ascii="Times New Roman" w:hAnsi="Times New Roman" w:eastAsia="仿宋_GB2312" w:cs="Times New Roman"/>
          <w:kern w:val="2"/>
          <w:sz w:val="32"/>
          <w:szCs w:val="32"/>
          <w:lang w:val="en-US" w:eastAsia="zh-CN" w:bidi="ar-SA"/>
        </w:rPr>
        <w:t>名单</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1600" w:firstLineChars="500"/>
        <w:textAlignment w:val="auto"/>
        <w:rPr>
          <w:rFonts w:hint="default" w:ascii="Times New Roman" w:hAnsi="Times New Roman" w:cs="Times New Roman"/>
          <w:lang w:val="en-US" w:eastAsia="zh-CN"/>
        </w:rPr>
      </w:pP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“蓉城先锋·诚信注会”诚信建设标兵名单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中共成都市注册会计师行业委员会</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仿宋" w:cs="Times New Roman"/>
          <w:color w:val="auto"/>
          <w:sz w:val="32"/>
          <w:szCs w:val="32"/>
          <w:lang w:val="en-US"/>
        </w:rPr>
        <w:sectPr>
          <w:footerReference r:id="rId3" w:type="default"/>
          <w:pgSz w:w="11906" w:h="16838"/>
          <w:pgMar w:top="2098" w:right="1474" w:bottom="1984" w:left="1587" w:header="851" w:footer="1587" w:gutter="0"/>
          <w:pgNumType w:fmt="decimal"/>
          <w:cols w:space="720" w:num="1"/>
          <w:rtlGutter w:val="0"/>
          <w:docGrid w:type="lines" w:linePitch="312" w:charSpace="0"/>
        </w:sectPr>
      </w:pPr>
      <w:r>
        <w:rPr>
          <w:rFonts w:hint="default" w:ascii="Times New Roman" w:hAnsi="Times New Roman" w:eastAsia="仿宋" w:cs="Times New Roman"/>
          <w:color w:val="auto"/>
          <w:sz w:val="32"/>
          <w:szCs w:val="32"/>
        </w:rPr>
        <w:t>2023年</w:t>
      </w:r>
      <w:r>
        <w:rPr>
          <w:rFonts w:hint="default" w:ascii="Times New Roman" w:hAnsi="Times New Roman" w:eastAsia="仿宋" w:cs="Times New Roman"/>
          <w:color w:val="auto"/>
          <w:sz w:val="32"/>
          <w:szCs w:val="32"/>
          <w:lang w:val="en-US" w:eastAsia="zh-CN"/>
        </w:rPr>
        <w:t>12</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15</w:t>
      </w:r>
      <w:r>
        <w:rPr>
          <w:rFonts w:hint="default" w:ascii="Times New Roman" w:hAnsi="Times New Roman" w:eastAsia="仿宋" w:cs="Times New Roman"/>
          <w:color w:val="auto"/>
          <w:sz w:val="32"/>
          <w:szCs w:val="32"/>
          <w:lang w:val="en-US" w:eastAsia="zh-CN"/>
        </w:rPr>
        <w:t>日</w:t>
      </w:r>
    </w:p>
    <w:p>
      <w:pPr>
        <w:pStyle w:val="11"/>
        <w:widowControl/>
        <w:spacing w:before="0" w:beforeAutospacing="0" w:after="0" w:afterAutospacing="0"/>
        <w:outlineLvl w:val="9"/>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1</w:t>
      </w:r>
    </w:p>
    <w:p>
      <w:pPr>
        <w:pStyle w:val="11"/>
        <w:widowControl/>
        <w:spacing w:before="0" w:beforeAutospacing="0" w:after="0" w:afterAutospacing="0"/>
        <w:outlineLvl w:val="9"/>
        <w:rPr>
          <w:rFonts w:hint="default" w:ascii="Times New Roman" w:hAnsi="Times New Roman" w:eastAsia="黑体" w:cs="Times New Roman"/>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Times New Roman" w:hAnsi="Times New Roman" w:cs="Times New Roman"/>
          <w:lang w:val="en-US" w:eastAsia="zh-CN"/>
        </w:rPr>
      </w:pPr>
      <w:r>
        <w:rPr>
          <w:rFonts w:hint="default" w:ascii="Times New Roman" w:hAnsi="Times New Roman" w:eastAsia="方正小标宋_GBK" w:cs="Times New Roman"/>
          <w:color w:val="auto"/>
          <w:sz w:val="44"/>
          <w:szCs w:val="44"/>
          <w:lang w:val="en-US" w:eastAsia="zh-CN"/>
        </w:rPr>
        <w:t>“蓉城先锋·诚信注会”诚信建设点名单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（共19家，排名不分先后）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信永中和会计师事务所（特殊普通合伙）成都分所</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天健会计师事务所（特殊普通合伙）四川分所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大信会计师事务所（特殊普通合伙）四川分所</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四川中衡安信会计师事务所有限公司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四川维诚会计师事务所有限公司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中天浩会计师事务所有限公司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四川名扬正信会计师事务所有限公司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四川德文会计师事务所（特殊普通合伙）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四川华文会计师事务所有限公司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中天运会计师事务所（特殊普通合伙）四川分所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四川嘉汇会计师事务所有限责任公司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四川鼎恒永宏会计师事务所（普通合伙）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四川中砝会计师事务所有限责任公司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中审众环会计师事务所（特殊普通合伙）四川分所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四川志和会计师事务所（普通合伙）</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四川万友会计师事务所有限公司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四川汇丰会计师事务所有限责任公司</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四川德誉会计师事务所有限责任公司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 w:cs="Times New Roman"/>
          <w:color w:val="auto"/>
          <w:kern w:val="2"/>
          <w:sz w:val="32"/>
          <w:szCs w:val="32"/>
          <w:lang w:val="en-US" w:eastAsia="zh-CN" w:bidi="ar-SA"/>
        </w:rPr>
        <w:t>容诚会计师事务所（特殊普通合伙）四川分所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rPr>
        <w:sectPr>
          <w:pgSz w:w="11906" w:h="16838"/>
          <w:pgMar w:top="2098" w:right="1474" w:bottom="1984" w:left="1587" w:header="851" w:footer="1587" w:gutter="0"/>
          <w:pgNumType w:fmt="decimal"/>
          <w:cols w:space="720" w:num="1"/>
          <w:rtlGutter w:val="0"/>
          <w:docGrid w:type="lines" w:linePitch="312" w:charSpace="0"/>
        </w:sectPr>
      </w:pPr>
    </w:p>
    <w:p>
      <w:pPr>
        <w:pStyle w:val="11"/>
        <w:widowControl/>
        <w:spacing w:before="0" w:beforeAutospacing="0" w:after="0" w:afterAutospacing="0"/>
        <w:outlineLvl w:val="9"/>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2</w:t>
      </w:r>
    </w:p>
    <w:p>
      <w:pPr>
        <w:pStyle w:val="11"/>
        <w:widowControl/>
        <w:spacing w:before="0" w:beforeAutospacing="0" w:after="0" w:afterAutospacing="0"/>
        <w:outlineLvl w:val="9"/>
        <w:rPr>
          <w:rFonts w:hint="default" w:ascii="Times New Roman" w:hAnsi="Times New Roman" w:eastAsia="黑体" w:cs="Times New Roman"/>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pacing w:val="-6"/>
          <w:sz w:val="44"/>
          <w:szCs w:val="44"/>
          <w:lang w:val="en-US" w:eastAsia="zh-CN"/>
        </w:rPr>
      </w:pPr>
      <w:r>
        <w:rPr>
          <w:rFonts w:hint="default" w:ascii="Times New Roman" w:hAnsi="Times New Roman" w:eastAsia="方正小标宋_GBK" w:cs="Times New Roman"/>
          <w:color w:val="auto"/>
          <w:spacing w:val="-6"/>
          <w:sz w:val="44"/>
          <w:szCs w:val="44"/>
          <w:lang w:val="en-US" w:eastAsia="zh-CN"/>
        </w:rPr>
        <w:t>“蓉城先锋·诚信注会”诚信建设</w:t>
      </w:r>
      <w:r>
        <w:rPr>
          <w:rFonts w:hint="eastAsia" w:ascii="Times New Roman" w:hAnsi="Times New Roman" w:eastAsia="方正小标宋_GBK" w:cs="Times New Roman"/>
          <w:color w:val="auto"/>
          <w:spacing w:val="-6"/>
          <w:sz w:val="44"/>
          <w:szCs w:val="44"/>
          <w:lang w:val="en-US" w:eastAsia="zh-CN"/>
        </w:rPr>
        <w:t>标兵名单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（共31名，排名不分先后）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jc w:val="center"/>
        <w:textAlignment w:val="auto"/>
        <w:rPr>
          <w:rFonts w:hint="default" w:ascii="Times New Roman" w:hAnsi="Times New Roman" w:eastAsia="方正小标宋_GBK" w:cs="Times New Roman"/>
          <w:color w:val="auto"/>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李  勇 四川嘉汇会计师事务所有限责任公司 董事长</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许兵伦 四川德文会计师事务所（特殊普通合伙） 首席合伙人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李海英 四川德誉会计师事务所有限责任公司 技术总监</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陈维亮 四川维诚会计师事务所有限公司 董事长</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李  毅 四川亿永正勤会计师事务所有限责任公司 主任会计师</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张  杰 四川万友会计师事务所有限公司 主任会计师</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阮响华 天健会计师事务所（特殊普通合伙）四川分所 总经理、高级合伙人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刘  雨 四川永乐会计师事务所有限责任公司 所长</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徐桂霞 四川中振会计师事务有限责任公司 总经理、主任会计师</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龚荣华 大信会计师事务所（特殊普通合伙）四川分所 高级合伙人、总经理</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廖道蓉 中天浩会计师事务所有限公司 总经理、主任会计师</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肖秋妹 四川中振会计师事务有限责任公司 副总经理</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刘彬文 中汇会计师事务所（特殊普通合伙）成都分所 主管合伙人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淦涛涛 信永中和会计师事务所（特殊普通合伙）成都分所 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杨  敏 中天运会计师事务所（特殊普通合伙）四川分所 所长</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杨  燕 四川中砝会计师事务所有限责任公司 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张雅立 四川中衡安信会计师事务所有限公司 副总经理</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魏世财 四川德文会计师事务所（特殊普通合伙） 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钟  彦 中天运会计师事务所（特殊普通合伙）四川分所 副所长</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何  勇 信永中和会计师事务所（特殊普通合伙）成都分所 副主任会计师</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贺兆新 中天浩会计师事务所有限公司 董事长、首席合伙人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陈洪涛 信永中和会计师事务所（特殊普通合伙）成都分所 合伙人</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周泽发 四川中砝会计师事务所有限责任公司 合伙人</w:t>
      </w:r>
    </w:p>
    <w:p>
      <w:pPr>
        <w:pStyle w:val="2"/>
        <w:keepNext w:val="0"/>
        <w:keepLines w:val="0"/>
        <w:pageBreakBefore w:val="0"/>
        <w:widowControl w:val="0"/>
        <w:kinsoku/>
        <w:wordWrap/>
        <w:overflowPunct/>
        <w:topLinePunct w:val="0"/>
        <w:autoSpaceDE/>
        <w:autoSpaceDN/>
        <w:bidi w:val="0"/>
        <w:adjustRightInd/>
        <w:snapToGrid/>
        <w:spacing w:after="0"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周  刚 大信会计师事务所（特殊普通合伙）四川分所 高级经理</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刘祖良 中天运会计师事务所（特殊普通合伙）四川分所 部门经理</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姜  均 四川华信（集团）会计师事务所（特殊普通合伙） 合伙人</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韩  莉 四川中衡安信会计师事务所有限公司 副总经理</w:t>
      </w:r>
      <w:r>
        <w:rPr>
          <w:rFonts w:hint="default" w:ascii="Times New Roman" w:hAnsi="Times New Roman" w:eastAsia="仿宋" w:cs="Times New Roman"/>
          <w:color w:val="auto"/>
          <w:kern w:val="2"/>
          <w:sz w:val="32"/>
          <w:szCs w:val="32"/>
          <w:lang w:val="en-US" w:eastAsia="zh-CN" w:bidi="ar-SA"/>
        </w:rPr>
        <w:tab/>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陈  斌 四川志和会计师事务所（普通合伙） 首席合伙人</w:t>
      </w:r>
      <w:r>
        <w:rPr>
          <w:rFonts w:hint="default" w:ascii="Times New Roman" w:hAnsi="Times New Roman" w:eastAsia="仿宋" w:cs="Times New Roman"/>
          <w:color w:val="auto"/>
          <w:kern w:val="2"/>
          <w:sz w:val="32"/>
          <w:szCs w:val="32"/>
          <w:lang w:val="en-US" w:eastAsia="zh-CN" w:bidi="ar-SA"/>
        </w:rPr>
        <w:tab/>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杨秀容 容诚会计师事务所（特殊普通合伙）四川分所 授薪合伙人</w:t>
      </w:r>
      <w:r>
        <w:rPr>
          <w:rFonts w:hint="default" w:ascii="Times New Roman" w:hAnsi="Times New Roman" w:eastAsia="仿宋" w:cs="Times New Roman"/>
          <w:color w:val="auto"/>
          <w:kern w:val="2"/>
          <w:sz w:val="32"/>
          <w:szCs w:val="32"/>
          <w:lang w:val="en-US" w:eastAsia="zh-CN" w:bidi="ar-SA"/>
        </w:rPr>
        <w:tab/>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 xml:space="preserve">田先楚 四川华文会计师事务所有限公司 </w:t>
      </w:r>
      <w:r>
        <w:rPr>
          <w:rFonts w:hint="default" w:ascii="Times New Roman" w:hAnsi="Times New Roman" w:eastAsia="仿宋" w:cs="Times New Roman"/>
          <w:color w:val="000000"/>
          <w:kern w:val="0"/>
          <w:sz w:val="32"/>
          <w:szCs w:val="32"/>
        </w:rPr>
        <w:t>审计部主任</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闫登峰 大华会计师事务所（特殊普通合伙）四川分所 合伙人</w:t>
      </w:r>
      <w:r>
        <w:rPr>
          <w:rFonts w:hint="default" w:ascii="Times New Roman" w:hAnsi="Times New Roman" w:eastAsia="仿宋" w:cs="Times New Roman"/>
          <w:color w:val="auto"/>
          <w:kern w:val="2"/>
          <w:sz w:val="32"/>
          <w:szCs w:val="32"/>
          <w:lang w:val="en-US" w:eastAsia="zh-CN" w:bidi="ar-SA"/>
        </w:rPr>
        <w:tab/>
      </w:r>
    </w:p>
    <w:p>
      <w:pPr>
        <w:rPr>
          <w:rFonts w:hint="eastAsia" w:eastAsia="宋体"/>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textAlignment w:val="auto"/>
      </w:pPr>
    </w:p>
    <w:p>
      <w:pPr>
        <w:keepNext w:val="0"/>
        <w:keepLines w:val="0"/>
        <w:pageBreakBefore w:val="0"/>
        <w:widowControl w:val="0"/>
        <w:tabs>
          <w:tab w:val="left" w:pos="2331"/>
        </w:tabs>
        <w:kinsoku/>
        <w:wordWrap/>
        <w:overflowPunct/>
        <w:topLinePunct w:val="0"/>
        <w:autoSpaceDE/>
        <w:autoSpaceDN/>
        <w:bidi w:val="0"/>
        <w:adjustRightInd/>
        <w:snapToGrid/>
        <w:spacing w:line="560" w:lineRule="atLeast"/>
        <w:textAlignment w:val="auto"/>
        <w:rPr>
          <w:rFonts w:hint="eastAsia" w:eastAsia="方正仿宋"/>
          <w:lang w:eastAsia="zh-CN"/>
        </w:rPr>
      </w:pPr>
      <w:r>
        <w:rPr>
          <w:rFonts w:hint="eastAsia"/>
          <w:lang w:eastAsia="zh-CN"/>
        </w:rPr>
        <w:tab/>
      </w:r>
    </w:p>
    <w:p>
      <w:pPr>
        <w:keepNext w:val="0"/>
        <w:keepLines w:val="0"/>
        <w:pageBreakBefore w:val="0"/>
        <w:widowControl w:val="0"/>
        <w:tabs>
          <w:tab w:val="left" w:pos="2331"/>
        </w:tabs>
        <w:kinsoku/>
        <w:wordWrap/>
        <w:overflowPunct/>
        <w:topLinePunct w:val="0"/>
        <w:autoSpaceDE/>
        <w:autoSpaceDN/>
        <w:bidi w:val="0"/>
        <w:adjustRightInd/>
        <w:snapToGrid/>
        <w:spacing w:line="560" w:lineRule="atLeast"/>
        <w:textAlignment w:val="auto"/>
        <w:rPr>
          <w:rFonts w:hint="eastAsia" w:eastAsia="方正仿宋"/>
          <w:lang w:eastAsia="zh-CN"/>
        </w:rPr>
      </w:pPr>
      <w:r>
        <w:rPr>
          <w:rFonts w:hint="eastAsia"/>
          <w:lang w:eastAsia="zh-CN"/>
        </w:rPr>
        <w:tab/>
      </w:r>
    </w:p>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spacing w:line="579" w:lineRule="exact"/>
        <w:rPr>
          <w:rFonts w:hint="eastAsia" w:ascii="仿宋" w:hAnsi="仿宋" w:eastAsia="仿宋" w:cs="仿宋"/>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sz w:val="32"/>
          <w:szCs w:val="32"/>
          <w:lang w:val="en-US" w:eastAsia="zh-CN"/>
        </w:rPr>
      </w:pPr>
    </w:p>
    <w:p>
      <w:pPr>
        <w:pStyle w:val="2"/>
        <w:rPr>
          <w:rFonts w:hint="eastAsia" w:ascii="Times New Roman" w:hAnsi="Times New Roman" w:eastAsia="仿宋" w:cs="Times New Roman"/>
          <w:sz w:val="32"/>
          <w:szCs w:val="32"/>
          <w:lang w:val="en-US" w:eastAsia="zh-CN"/>
        </w:rPr>
      </w:pPr>
    </w:p>
    <w:p>
      <w:pPr>
        <w:rPr>
          <w:rFonts w:hint="eastAsia" w:ascii="Times New Roman" w:hAnsi="Times New Roman" w:eastAsia="仿宋" w:cs="Times New Roman"/>
          <w:sz w:val="32"/>
          <w:szCs w:val="32"/>
          <w:lang w:val="en-US" w:eastAsia="zh-CN"/>
        </w:rPr>
      </w:pPr>
    </w:p>
    <w:p>
      <w:pPr>
        <w:pStyle w:val="2"/>
        <w:rPr>
          <w:rFonts w:hint="eastAsia" w:ascii="Times New Roman" w:hAnsi="Times New Roman" w:eastAsia="仿宋" w:cs="Times New Roman"/>
          <w:sz w:val="32"/>
          <w:szCs w:val="32"/>
          <w:lang w:val="en-US" w:eastAsia="zh-CN"/>
        </w:rPr>
      </w:pPr>
    </w:p>
    <w:p>
      <w:pPr>
        <w:rPr>
          <w:rFonts w:hint="eastAsia" w:ascii="Times New Roman" w:hAnsi="Times New Roman" w:eastAsia="仿宋" w:cs="Times New Roman"/>
          <w:sz w:val="32"/>
          <w:szCs w:val="32"/>
          <w:lang w:val="en-US" w:eastAsia="zh-CN"/>
        </w:rPr>
      </w:pPr>
    </w:p>
    <w:p>
      <w:pPr>
        <w:pStyle w:val="2"/>
        <w:rPr>
          <w:rFonts w:hint="eastAsia" w:ascii="Times New Roman" w:hAnsi="Times New Roman" w:eastAsia="仿宋" w:cs="Times New Roman"/>
          <w:sz w:val="32"/>
          <w:szCs w:val="32"/>
          <w:lang w:val="en-US" w:eastAsia="zh-CN"/>
        </w:rPr>
      </w:pPr>
    </w:p>
    <w:p>
      <w:pPr>
        <w:rPr>
          <w:rFonts w:hint="eastAsia" w:ascii="Times New Roman" w:hAnsi="Times New Roman" w:eastAsia="仿宋" w:cs="Times New Roman"/>
          <w:sz w:val="32"/>
          <w:szCs w:val="32"/>
          <w:lang w:val="en-US" w:eastAsia="zh-CN"/>
        </w:rPr>
      </w:pPr>
    </w:p>
    <w:p>
      <w:pPr>
        <w:pStyle w:val="2"/>
        <w:rPr>
          <w:rFonts w:hint="eastAsia" w:ascii="Times New Roman" w:hAnsi="Times New Roman" w:eastAsia="仿宋" w:cs="Times New Roman"/>
          <w:sz w:val="32"/>
          <w:szCs w:val="32"/>
          <w:lang w:val="en-US" w:eastAsia="zh-CN"/>
        </w:rPr>
      </w:pPr>
    </w:p>
    <w:p>
      <w:pPr>
        <w:rPr>
          <w:rFonts w:hint="eastAsia" w:ascii="Times New Roman" w:hAnsi="Times New Roman" w:eastAsia="仿宋" w:cs="Times New Roman"/>
          <w:sz w:val="32"/>
          <w:szCs w:val="32"/>
          <w:lang w:val="en-US" w:eastAsia="zh-CN"/>
        </w:rPr>
      </w:pPr>
    </w:p>
    <w:p>
      <w:pPr>
        <w:pStyle w:val="2"/>
        <w:rPr>
          <w:rFonts w:hint="eastAsia" w:ascii="Times New Roman" w:hAnsi="Times New Roman" w:eastAsia="仿宋" w:cs="Times New Roman"/>
          <w:sz w:val="32"/>
          <w:szCs w:val="32"/>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sz w:val="32"/>
          <w:szCs w:val="32"/>
          <w:lang w:val="en-US" w:eastAsia="zh-CN"/>
        </w:rPr>
      </w:pPr>
    </w:p>
    <w:p>
      <w:pPr>
        <w:pBdr>
          <w:bottom w:val="single" w:color="auto" w:sz="4" w:space="0"/>
        </w:pBdr>
        <w:spacing w:line="420" w:lineRule="exact"/>
        <w:jc w:val="left"/>
        <w:rPr>
          <w:rFonts w:hint="eastAsia" w:ascii="Times New Roman" w:hAnsi="Times New Roman" w:eastAsia="黑体" w:cs="Times New Roman"/>
          <w:sz w:val="32"/>
          <w:szCs w:val="32"/>
          <w:lang w:eastAsia="zh-CN"/>
        </w:rPr>
      </w:pPr>
      <w:r>
        <w:rPr>
          <w:rFonts w:hint="default" w:ascii="Times New Roman" w:hAnsi="Times New Roman" w:eastAsia="黑体" w:cs="Times New Roman"/>
          <w:b w:val="0"/>
          <w:bCs w:val="0"/>
          <w:sz w:val="32"/>
          <w:szCs w:val="32"/>
        </w:rPr>
        <w:t>信息公开类别：主动</w:t>
      </w:r>
      <w:r>
        <w:rPr>
          <w:rFonts w:hint="eastAsia" w:eastAsia="黑体" w:cs="Times New Roman"/>
          <w:b w:val="0"/>
          <w:bCs w:val="0"/>
          <w:sz w:val="32"/>
          <w:szCs w:val="32"/>
          <w:lang w:eastAsia="zh-CN"/>
        </w:rPr>
        <w:t>公开</w:t>
      </w:r>
    </w:p>
    <w:p>
      <w:pPr>
        <w:pStyle w:val="9"/>
        <w:pBdr>
          <w:bottom w:val="single" w:color="auto" w:sz="4" w:space="1"/>
        </w:pBdr>
        <w:tabs>
          <w:tab w:val="left" w:pos="954"/>
          <w:tab w:val="clear" w:pos="4153"/>
        </w:tabs>
        <w:spacing w:line="420" w:lineRule="exact"/>
        <w:ind w:left="-8" w:firstLine="8"/>
        <w:jc w:val="left"/>
        <w:rPr>
          <w:rFonts w:hint="eastAsia" w:ascii="仿宋" w:hAnsi="仿宋" w:eastAsia="仿宋" w:cs="仿宋"/>
          <w:sz w:val="28"/>
          <w:szCs w:val="28"/>
        </w:rPr>
      </w:pPr>
      <w:r>
        <w:rPr>
          <w:rFonts w:hint="default" w:ascii="Times New Roman" w:hAnsi="Times New Roman" w:eastAsia="仿宋" w:cs="Times New Roman"/>
          <w:sz w:val="28"/>
          <w:szCs w:val="28"/>
        </w:rPr>
        <w:t>中共成都市注册会计师行业委员会办公室</w:t>
      </w:r>
      <w:r>
        <w:rPr>
          <w:rFonts w:hint="default"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20</w:t>
      </w:r>
      <w:r>
        <w:rPr>
          <w:rFonts w:hint="eastAsia" w:eastAsia="仿宋" w:cs="Times New Roman"/>
          <w:sz w:val="28"/>
          <w:szCs w:val="28"/>
          <w:lang w:val="en-US" w:eastAsia="zh-CN"/>
        </w:rPr>
        <w:t>23</w:t>
      </w:r>
      <w:r>
        <w:rPr>
          <w:rFonts w:hint="default" w:ascii="Times New Roman" w:hAnsi="Times New Roman" w:eastAsia="仿宋" w:cs="Times New Roman"/>
          <w:sz w:val="28"/>
          <w:szCs w:val="28"/>
        </w:rPr>
        <w:t>年</w:t>
      </w:r>
      <w:r>
        <w:rPr>
          <w:rFonts w:hint="eastAsia" w:eastAsia="仿宋" w:cs="Times New Roman"/>
          <w:sz w:val="28"/>
          <w:szCs w:val="28"/>
          <w:lang w:val="en-US" w:eastAsia="zh-CN"/>
        </w:rPr>
        <w:t>12</w:t>
      </w:r>
      <w:r>
        <w:rPr>
          <w:rFonts w:hint="default" w:ascii="Times New Roman" w:hAnsi="Times New Roman" w:eastAsia="仿宋" w:cs="Times New Roman"/>
          <w:sz w:val="28"/>
          <w:szCs w:val="28"/>
        </w:rPr>
        <w:t>月</w:t>
      </w:r>
      <w:r>
        <w:rPr>
          <w:rFonts w:hint="eastAsia" w:eastAsia="仿宋" w:cs="Times New Roman"/>
          <w:sz w:val="28"/>
          <w:szCs w:val="28"/>
          <w:lang w:val="en-US" w:eastAsia="zh-CN"/>
        </w:rPr>
        <w:t>15</w:t>
      </w:r>
      <w:r>
        <w:rPr>
          <w:rFonts w:hint="default" w:ascii="Times New Roman" w:hAnsi="Times New Roman" w:eastAsia="仿宋" w:cs="Times New Roman"/>
          <w:sz w:val="28"/>
          <w:szCs w:val="28"/>
        </w:rPr>
        <w:t>日印发</w:t>
      </w:r>
      <w:r>
        <w:rPr>
          <w:rFonts w:hint="default"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p>
    <w:sectPr>
      <w:footerReference r:id="rId4" w:type="default"/>
      <w:footerReference r:id="rId5" w:type="even"/>
      <w:pgSz w:w="11906" w:h="16838"/>
      <w:pgMar w:top="2098" w:right="1474" w:bottom="1984" w:left="1587" w:header="851" w:footer="1587" w:gutter="0"/>
      <w:pgNumType w:fmt="numberInDash"/>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方正仿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仿宋">
    <w:altName w:val="仿宋"/>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path/>
              <v:fill on="f" focussize="0,0"/>
              <v:stroke on="f"/>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60"/>
  <w:drawingGridVerticalSpacing w:val="29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yYjIwMjliMGQwYzM2MWQwZjYzZDgyZjUwZWNlYWEifQ=="/>
  </w:docVars>
  <w:rsids>
    <w:rsidRoot w:val="00BC2B70"/>
    <w:rsid w:val="00006F38"/>
    <w:rsid w:val="000A6EAE"/>
    <w:rsid w:val="000E6FEA"/>
    <w:rsid w:val="000F4CAE"/>
    <w:rsid w:val="001035C6"/>
    <w:rsid w:val="001175D8"/>
    <w:rsid w:val="00152D39"/>
    <w:rsid w:val="00165A81"/>
    <w:rsid w:val="001830C0"/>
    <w:rsid w:val="001C1A06"/>
    <w:rsid w:val="00202C8A"/>
    <w:rsid w:val="00207BF7"/>
    <w:rsid w:val="00223D7C"/>
    <w:rsid w:val="00224A2B"/>
    <w:rsid w:val="00234EA3"/>
    <w:rsid w:val="002612DE"/>
    <w:rsid w:val="00283328"/>
    <w:rsid w:val="002A0BF3"/>
    <w:rsid w:val="002B7325"/>
    <w:rsid w:val="002C255D"/>
    <w:rsid w:val="002F7DC4"/>
    <w:rsid w:val="00314CB1"/>
    <w:rsid w:val="00314E3C"/>
    <w:rsid w:val="003219FF"/>
    <w:rsid w:val="00360A5E"/>
    <w:rsid w:val="00383C01"/>
    <w:rsid w:val="003C0D9F"/>
    <w:rsid w:val="003E71AF"/>
    <w:rsid w:val="003E7B8F"/>
    <w:rsid w:val="003F1A71"/>
    <w:rsid w:val="003F65FE"/>
    <w:rsid w:val="00443B15"/>
    <w:rsid w:val="0046613D"/>
    <w:rsid w:val="00467AA6"/>
    <w:rsid w:val="00486504"/>
    <w:rsid w:val="004C07DC"/>
    <w:rsid w:val="004D392C"/>
    <w:rsid w:val="005159C2"/>
    <w:rsid w:val="005259A2"/>
    <w:rsid w:val="0054249F"/>
    <w:rsid w:val="00555026"/>
    <w:rsid w:val="00563257"/>
    <w:rsid w:val="00574547"/>
    <w:rsid w:val="00593E9A"/>
    <w:rsid w:val="005E0CEF"/>
    <w:rsid w:val="005F18DD"/>
    <w:rsid w:val="00600213"/>
    <w:rsid w:val="006119E6"/>
    <w:rsid w:val="00630C3E"/>
    <w:rsid w:val="00636FD1"/>
    <w:rsid w:val="006547AF"/>
    <w:rsid w:val="006717AD"/>
    <w:rsid w:val="006B6268"/>
    <w:rsid w:val="006D5503"/>
    <w:rsid w:val="006E24F4"/>
    <w:rsid w:val="006F067C"/>
    <w:rsid w:val="0070170C"/>
    <w:rsid w:val="00712827"/>
    <w:rsid w:val="007215A8"/>
    <w:rsid w:val="00741816"/>
    <w:rsid w:val="0074333B"/>
    <w:rsid w:val="00762F93"/>
    <w:rsid w:val="00765EA2"/>
    <w:rsid w:val="007C399E"/>
    <w:rsid w:val="007D5066"/>
    <w:rsid w:val="00807F20"/>
    <w:rsid w:val="00813180"/>
    <w:rsid w:val="00840ACF"/>
    <w:rsid w:val="008466DA"/>
    <w:rsid w:val="0087378F"/>
    <w:rsid w:val="008976B2"/>
    <w:rsid w:val="008A6030"/>
    <w:rsid w:val="008B1274"/>
    <w:rsid w:val="008B453E"/>
    <w:rsid w:val="008E57D5"/>
    <w:rsid w:val="00910249"/>
    <w:rsid w:val="0091186A"/>
    <w:rsid w:val="009558E5"/>
    <w:rsid w:val="00973EB5"/>
    <w:rsid w:val="009845D9"/>
    <w:rsid w:val="009A1CF7"/>
    <w:rsid w:val="009C4857"/>
    <w:rsid w:val="009F17F3"/>
    <w:rsid w:val="00A30185"/>
    <w:rsid w:val="00A34F07"/>
    <w:rsid w:val="00A81845"/>
    <w:rsid w:val="00A94856"/>
    <w:rsid w:val="00B03CD2"/>
    <w:rsid w:val="00B0496C"/>
    <w:rsid w:val="00B07B9F"/>
    <w:rsid w:val="00B130BF"/>
    <w:rsid w:val="00B24F7D"/>
    <w:rsid w:val="00B4228D"/>
    <w:rsid w:val="00B81853"/>
    <w:rsid w:val="00BB0225"/>
    <w:rsid w:val="00BB7A58"/>
    <w:rsid w:val="00BC2B70"/>
    <w:rsid w:val="00BC4E9B"/>
    <w:rsid w:val="00BE3177"/>
    <w:rsid w:val="00C64D3C"/>
    <w:rsid w:val="00CB1592"/>
    <w:rsid w:val="00CD1CF4"/>
    <w:rsid w:val="00CE7DC0"/>
    <w:rsid w:val="00D0254B"/>
    <w:rsid w:val="00D42FF4"/>
    <w:rsid w:val="00D8671F"/>
    <w:rsid w:val="00E10086"/>
    <w:rsid w:val="00E317B7"/>
    <w:rsid w:val="00E43A55"/>
    <w:rsid w:val="00E445D5"/>
    <w:rsid w:val="00E620FA"/>
    <w:rsid w:val="00E635D9"/>
    <w:rsid w:val="00E66BCA"/>
    <w:rsid w:val="00E66BCB"/>
    <w:rsid w:val="00E854FA"/>
    <w:rsid w:val="00EA0E87"/>
    <w:rsid w:val="00EB0FB5"/>
    <w:rsid w:val="00ED794A"/>
    <w:rsid w:val="00EE7A95"/>
    <w:rsid w:val="00F00482"/>
    <w:rsid w:val="00F15FC6"/>
    <w:rsid w:val="00F2388A"/>
    <w:rsid w:val="00F8062C"/>
    <w:rsid w:val="00F825E5"/>
    <w:rsid w:val="00FB0E27"/>
    <w:rsid w:val="00FC2408"/>
    <w:rsid w:val="00FC2876"/>
    <w:rsid w:val="00FC2D6D"/>
    <w:rsid w:val="00FC314D"/>
    <w:rsid w:val="00FE0627"/>
    <w:rsid w:val="00FE7455"/>
    <w:rsid w:val="00FF1F6E"/>
    <w:rsid w:val="010C0CCD"/>
    <w:rsid w:val="0319403A"/>
    <w:rsid w:val="04072EE1"/>
    <w:rsid w:val="045D1AAF"/>
    <w:rsid w:val="05D16844"/>
    <w:rsid w:val="075F588D"/>
    <w:rsid w:val="09985E87"/>
    <w:rsid w:val="0A5A5AF0"/>
    <w:rsid w:val="0ACF76E9"/>
    <w:rsid w:val="0BEF4784"/>
    <w:rsid w:val="0C4B2624"/>
    <w:rsid w:val="113879CF"/>
    <w:rsid w:val="13747D8D"/>
    <w:rsid w:val="138F7915"/>
    <w:rsid w:val="14172D4D"/>
    <w:rsid w:val="14EE63C6"/>
    <w:rsid w:val="17C17586"/>
    <w:rsid w:val="1832272D"/>
    <w:rsid w:val="1A615243"/>
    <w:rsid w:val="1ACB331B"/>
    <w:rsid w:val="1C7D308D"/>
    <w:rsid w:val="1F62409D"/>
    <w:rsid w:val="1F7D5103"/>
    <w:rsid w:val="204C243A"/>
    <w:rsid w:val="212D1981"/>
    <w:rsid w:val="236E53F0"/>
    <w:rsid w:val="25C00234"/>
    <w:rsid w:val="26CB5AF1"/>
    <w:rsid w:val="2D7D0F08"/>
    <w:rsid w:val="2E9F133B"/>
    <w:rsid w:val="2ECB0480"/>
    <w:rsid w:val="30B17FF6"/>
    <w:rsid w:val="3333590B"/>
    <w:rsid w:val="3B4D7174"/>
    <w:rsid w:val="3E811232"/>
    <w:rsid w:val="4222004F"/>
    <w:rsid w:val="442632B2"/>
    <w:rsid w:val="449210F9"/>
    <w:rsid w:val="44ED00B0"/>
    <w:rsid w:val="46AA4B1D"/>
    <w:rsid w:val="47B00580"/>
    <w:rsid w:val="49386C0F"/>
    <w:rsid w:val="4D0A3DF4"/>
    <w:rsid w:val="4F1F6870"/>
    <w:rsid w:val="501C0A1C"/>
    <w:rsid w:val="56156B88"/>
    <w:rsid w:val="57A459EA"/>
    <w:rsid w:val="5823612A"/>
    <w:rsid w:val="58E6358E"/>
    <w:rsid w:val="59917FBE"/>
    <w:rsid w:val="5A557AE7"/>
    <w:rsid w:val="5B781A0B"/>
    <w:rsid w:val="5F200725"/>
    <w:rsid w:val="60D2707D"/>
    <w:rsid w:val="610063D3"/>
    <w:rsid w:val="62004446"/>
    <w:rsid w:val="63A5658C"/>
    <w:rsid w:val="64D434B5"/>
    <w:rsid w:val="65A405CD"/>
    <w:rsid w:val="69A3294D"/>
    <w:rsid w:val="6B1C6209"/>
    <w:rsid w:val="6B8E6F03"/>
    <w:rsid w:val="6C71090C"/>
    <w:rsid w:val="6FA026D1"/>
    <w:rsid w:val="71597972"/>
    <w:rsid w:val="75D83E13"/>
    <w:rsid w:val="790B2BB7"/>
    <w:rsid w:val="796849F4"/>
    <w:rsid w:val="7D982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6">
    <w:name w:val="Default Paragraph Font"/>
    <w:link w:val="17"/>
    <w:semiHidden/>
    <w:unhideWhenUsed/>
    <w:qFormat/>
    <w:uiPriority w:val="1"/>
    <w:rPr>
      <w:rFonts w:ascii="Verdana" w:hAnsi="Verdana" w:eastAsia="宋体"/>
      <w:kern w:val="0"/>
      <w:sz w:val="20"/>
      <w:szCs w:val="20"/>
      <w:lang w:eastAsia="en-US"/>
    </w:rPr>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Body Text Indent"/>
    <w:basedOn w:val="1"/>
    <w:link w:val="28"/>
    <w:qFormat/>
    <w:uiPriority w:val="0"/>
    <w:pPr>
      <w:spacing w:line="340" w:lineRule="atLeast"/>
      <w:ind w:firstLine="524" w:firstLineChars="222"/>
    </w:pPr>
    <w:rPr>
      <w:spacing w:val="-22"/>
      <w:sz w:val="28"/>
      <w:szCs w:val="18"/>
    </w:rPr>
  </w:style>
  <w:style w:type="paragraph" w:styleId="6">
    <w:name w:val="Date"/>
    <w:basedOn w:val="1"/>
    <w:next w:val="1"/>
    <w:link w:val="27"/>
    <w:semiHidden/>
    <w:unhideWhenUsed/>
    <w:qFormat/>
    <w:uiPriority w:val="99"/>
    <w:pPr>
      <w:ind w:left="100" w:leftChars="2500"/>
    </w:pPr>
  </w:style>
  <w:style w:type="paragraph" w:styleId="7">
    <w:name w:val="Balloon Text"/>
    <w:basedOn w:val="1"/>
    <w:link w:val="25"/>
    <w:autoRedefine/>
    <w:semiHidden/>
    <w:unhideWhenUsed/>
    <w:qFormat/>
    <w:uiPriority w:val="99"/>
    <w:rPr>
      <w:sz w:val="18"/>
      <w:szCs w:val="18"/>
    </w:rPr>
  </w:style>
  <w:style w:type="paragraph" w:styleId="8">
    <w:name w:val="footer"/>
    <w:basedOn w:val="1"/>
    <w:link w:val="24"/>
    <w:autoRedefine/>
    <w:unhideWhenUsed/>
    <w:qFormat/>
    <w:uiPriority w:val="99"/>
    <w:pPr>
      <w:tabs>
        <w:tab w:val="center" w:pos="4153"/>
        <w:tab w:val="right" w:pos="8306"/>
      </w:tabs>
      <w:snapToGrid w:val="0"/>
      <w:jc w:val="left"/>
    </w:pPr>
    <w:rPr>
      <w:sz w:val="18"/>
      <w:szCs w:val="18"/>
    </w:rPr>
  </w:style>
  <w:style w:type="paragraph" w:styleId="9">
    <w:name w:val="header"/>
    <w:basedOn w:val="1"/>
    <w:link w:val="2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pPr>
      <w:tabs>
        <w:tab w:val="right" w:leader="dot" w:pos="8494"/>
      </w:tabs>
    </w:p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9"/>
    <w:autoRedefine/>
    <w:qFormat/>
    <w:uiPriority w:val="10"/>
    <w:pPr>
      <w:spacing w:before="240" w:after="60"/>
      <w:jc w:val="center"/>
      <w:outlineLvl w:val="0"/>
    </w:pPr>
    <w:rPr>
      <w:rFonts w:ascii="Cambria" w:hAnsi="Cambria" w:eastAsia="宋体"/>
      <w:b/>
      <w:bCs/>
    </w:rPr>
  </w:style>
  <w:style w:type="paragraph" w:styleId="13">
    <w:name w:val="Body Text First Indent 2"/>
    <w:basedOn w:val="5"/>
    <w:autoRedefine/>
    <w:qFormat/>
    <w:uiPriority w:val="99"/>
    <w:pPr>
      <w:ind w:firstLine="420" w:firstLineChars="2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 Char Char3"/>
    <w:basedOn w:val="1"/>
    <w:link w:val="16"/>
    <w:autoRedefine/>
    <w:qFormat/>
    <w:uiPriority w:val="0"/>
    <w:pPr>
      <w:widowControl/>
      <w:snapToGrid w:val="0"/>
      <w:spacing w:line="240" w:lineRule="exact"/>
      <w:jc w:val="left"/>
    </w:pPr>
    <w:rPr>
      <w:rFonts w:ascii="Verdana" w:hAnsi="Verdana" w:eastAsia="宋体"/>
      <w:kern w:val="0"/>
      <w:sz w:val="20"/>
      <w:szCs w:val="20"/>
      <w:lang w:eastAsia="en-US"/>
    </w:rPr>
  </w:style>
  <w:style w:type="character" w:styleId="18">
    <w:name w:val="page number"/>
    <w:basedOn w:val="16"/>
    <w:autoRedefine/>
    <w:qFormat/>
    <w:uiPriority w:val="0"/>
  </w:style>
  <w:style w:type="character" w:styleId="19">
    <w:name w:val="Hyperlink"/>
    <w:basedOn w:val="16"/>
    <w:autoRedefine/>
    <w:unhideWhenUsed/>
    <w:qFormat/>
    <w:uiPriority w:val="99"/>
    <w:rPr>
      <w:color w:val="0000FF"/>
      <w:u w:val="single"/>
    </w:rPr>
  </w:style>
  <w:style w:type="character" w:customStyle="1" w:styleId="20">
    <w:name w:val="标题 2 Char"/>
    <w:basedOn w:val="16"/>
    <w:link w:val="4"/>
    <w:autoRedefine/>
    <w:qFormat/>
    <w:uiPriority w:val="9"/>
    <w:rPr>
      <w:rFonts w:ascii="宋体" w:hAnsi="宋体" w:eastAsia="宋体" w:cs="宋体"/>
      <w:b/>
      <w:bCs/>
      <w:kern w:val="0"/>
      <w:sz w:val="36"/>
      <w:szCs w:val="36"/>
    </w:rPr>
  </w:style>
  <w:style w:type="paragraph" w:styleId="21">
    <w:name w:val="List Paragraph"/>
    <w:basedOn w:val="1"/>
    <w:autoRedefine/>
    <w:qFormat/>
    <w:uiPriority w:val="34"/>
    <w:pPr>
      <w:ind w:firstLine="420" w:firstLineChars="200"/>
    </w:pPr>
  </w:style>
  <w:style w:type="character" w:customStyle="1" w:styleId="22">
    <w:name w:val="apple-converted-space"/>
    <w:basedOn w:val="16"/>
    <w:autoRedefine/>
    <w:qFormat/>
    <w:uiPriority w:val="0"/>
  </w:style>
  <w:style w:type="character" w:customStyle="1" w:styleId="23">
    <w:name w:val="页眉 Char"/>
    <w:basedOn w:val="16"/>
    <w:link w:val="9"/>
    <w:autoRedefine/>
    <w:semiHidden/>
    <w:qFormat/>
    <w:uiPriority w:val="99"/>
    <w:rPr>
      <w:rFonts w:ascii="Times New Roman" w:hAnsi="Times New Roman" w:eastAsia="仿宋_GB2312" w:cs="Times New Roman"/>
      <w:sz w:val="18"/>
      <w:szCs w:val="18"/>
    </w:rPr>
  </w:style>
  <w:style w:type="character" w:customStyle="1" w:styleId="24">
    <w:name w:val="页脚 Char"/>
    <w:basedOn w:val="16"/>
    <w:link w:val="8"/>
    <w:autoRedefine/>
    <w:qFormat/>
    <w:uiPriority w:val="99"/>
    <w:rPr>
      <w:rFonts w:ascii="Times New Roman" w:hAnsi="Times New Roman" w:eastAsia="仿宋_GB2312" w:cs="Times New Roman"/>
      <w:sz w:val="18"/>
      <w:szCs w:val="18"/>
    </w:rPr>
  </w:style>
  <w:style w:type="character" w:customStyle="1" w:styleId="25">
    <w:name w:val="批注框文本 Char"/>
    <w:basedOn w:val="16"/>
    <w:link w:val="7"/>
    <w:autoRedefine/>
    <w:semiHidden/>
    <w:qFormat/>
    <w:uiPriority w:val="99"/>
    <w:rPr>
      <w:rFonts w:ascii="Times New Roman" w:hAnsi="Times New Roman" w:eastAsia="仿宋_GB2312" w:cs="Times New Roman"/>
      <w:sz w:val="18"/>
      <w:szCs w:val="18"/>
    </w:rPr>
  </w:style>
  <w:style w:type="character" w:customStyle="1" w:styleId="26">
    <w:name w:val="标题 1 Char"/>
    <w:basedOn w:val="16"/>
    <w:link w:val="3"/>
    <w:autoRedefine/>
    <w:qFormat/>
    <w:uiPriority w:val="9"/>
    <w:rPr>
      <w:rFonts w:ascii="Times New Roman" w:hAnsi="Times New Roman" w:eastAsia="仿宋_GB2312" w:cs="Times New Roman"/>
      <w:b/>
      <w:bCs/>
      <w:kern w:val="44"/>
      <w:sz w:val="44"/>
      <w:szCs w:val="44"/>
    </w:rPr>
  </w:style>
  <w:style w:type="character" w:customStyle="1" w:styleId="27">
    <w:name w:val="日期 Char"/>
    <w:basedOn w:val="16"/>
    <w:link w:val="6"/>
    <w:autoRedefine/>
    <w:semiHidden/>
    <w:qFormat/>
    <w:uiPriority w:val="99"/>
    <w:rPr>
      <w:rFonts w:ascii="Times New Roman" w:hAnsi="Times New Roman" w:eastAsia="仿宋_GB2312" w:cs="Times New Roman"/>
      <w:sz w:val="32"/>
      <w:szCs w:val="32"/>
    </w:rPr>
  </w:style>
  <w:style w:type="character" w:customStyle="1" w:styleId="28">
    <w:name w:val="正文文本缩进 Char"/>
    <w:basedOn w:val="16"/>
    <w:link w:val="5"/>
    <w:autoRedefine/>
    <w:qFormat/>
    <w:uiPriority w:val="0"/>
    <w:rPr>
      <w:rFonts w:ascii="Times New Roman" w:hAnsi="Times New Roman" w:eastAsia="仿宋_GB2312" w:cs="Times New Roman"/>
      <w:spacing w:val="-22"/>
      <w:sz w:val="28"/>
      <w:szCs w:val="18"/>
    </w:rPr>
  </w:style>
  <w:style w:type="character" w:customStyle="1" w:styleId="29">
    <w:name w:val="标题 Char"/>
    <w:basedOn w:val="16"/>
    <w:link w:val="12"/>
    <w:autoRedefine/>
    <w:qFormat/>
    <w:uiPriority w:val="10"/>
    <w:rPr>
      <w:rFonts w:ascii="Cambria" w:hAnsi="Cambria" w:eastAsia="宋体" w:cs="Times New Roman"/>
      <w:b/>
      <w:bCs/>
      <w:sz w:val="32"/>
      <w:szCs w:val="32"/>
    </w:rPr>
  </w:style>
  <w:style w:type="paragraph" w:customStyle="1" w:styleId="30">
    <w:name w:val="TOC 标题1"/>
    <w:basedOn w:val="3"/>
    <w:next w:val="1"/>
    <w:autoRedefine/>
    <w:semiHidden/>
    <w:unhideWhenUsed/>
    <w:qFormat/>
    <w:uiPriority w:val="39"/>
    <w:pPr>
      <w:widowControl/>
      <w:spacing w:before="480" w:after="0" w:line="276" w:lineRule="auto"/>
      <w:jc w:val="left"/>
      <w:outlineLvl w:val="9"/>
    </w:pPr>
    <w:rPr>
      <w:rFonts w:ascii="Cambria" w:hAnsi="Cambria" w:eastAsia="宋体"/>
      <w:color w:val="365F91"/>
      <w:kern w:val="0"/>
      <w:sz w:val="28"/>
      <w:szCs w:val="28"/>
    </w:rPr>
  </w:style>
  <w:style w:type="character" w:customStyle="1" w:styleId="31">
    <w:name w:val="style81"/>
    <w:autoRedefine/>
    <w:qFormat/>
    <w:uiPriority w:val="0"/>
    <w:rPr>
      <w:rFonts w:hint="eastAsia" w:ascii="宋体" w:hAnsi="宋体" w:eastAsia="宋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193</Words>
  <Characters>217</Characters>
  <Lines>15</Lines>
  <Paragraphs>4</Paragraphs>
  <TotalTime>0</TotalTime>
  <ScaleCrop>false</ScaleCrop>
  <LinksUpToDate>false</LinksUpToDate>
  <CharactersWithSpaces>329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2018-07-31T01:20:00Z</dcterms:created>
  <dc:creator>dell</dc:creator>
  <cp:lastModifiedBy>DELL</cp:lastModifiedBy>
  <cp:lastPrinted>2022-05-16T02:06:00Z</cp:lastPrinted>
  <dcterms:modified xsi:type="dcterms:W3CDTF">2023-12-15T06:03:52Z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9ACCAB373F4149F0864BEA9834699CCA</vt:lpwstr>
  </property>
</Properties>
</file>